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png" ContentType="image/png"/>
  <Override PartName="/word/media/rId47.png" ContentType="image/png"/>
  <Override PartName="/word/media/rId98.png" ContentType="image/png"/>
  <Override PartName="/word/media/rId102.png" ContentType="image/png"/>
  <Override PartName="/word/media/rId106.png" ContentType="image/png"/>
  <Override PartName="/word/media/rId110.png" ContentType="image/png"/>
  <Override PartName="/word/media/rId53.png" ContentType="image/png"/>
  <Override PartName="/word/media/rId57.png" ContentType="image/png"/>
  <Override PartName="/word/media/rId94.png" ContentType="image/png"/>
  <Override PartName="/word/media/image3.png" ContentType="image/png"/>
  <Override PartName="/word/media/image1.png" ContentType="image/png"/>
  <Override PartName="/word/media/image2.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Reduced</w:t>
      </w:r>
      <w:r>
        <w:t xml:space="preserve"> </w:t>
      </w:r>
      <w:r>
        <w:t xml:space="preserve">plasticity</w:t>
      </w:r>
      <w:r>
        <w:t xml:space="preserve"> </w:t>
      </w:r>
      <w:r>
        <w:t xml:space="preserve">and</w:t>
      </w:r>
      <w:r>
        <w:t xml:space="preserve"> </w:t>
      </w:r>
      <w:r>
        <w:t xml:space="preserve">opportunity</w:t>
      </w:r>
      <w:r>
        <w:t xml:space="preserve"> </w:t>
      </w:r>
      <w:r>
        <w:t xml:space="preserve">for</w:t>
      </w:r>
      <w:r>
        <w:t xml:space="preserve"> </w:t>
      </w:r>
      <w:r>
        <w:t xml:space="preserve">selection</w:t>
      </w:r>
      <w:r>
        <w:t xml:space="preserve"> </w:t>
      </w:r>
      <w:r>
        <w:t xml:space="preserve">in</w:t>
      </w:r>
      <w:r>
        <w:t xml:space="preserve"> </w:t>
      </w:r>
      <w:r>
        <w:t xml:space="preserve">terrestrial</w:t>
      </w:r>
      <w:r>
        <w:t xml:space="preserve"> </w:t>
      </w:r>
      <w:r>
        <w:t xml:space="preserve">ectotherm</w:t>
      </w:r>
      <w:r>
        <w:t xml:space="preserve"> </w:t>
      </w:r>
      <w:r>
        <w:t xml:space="preserve">populations</w:t>
      </w:r>
      <w:r>
        <w:t xml:space="preserve"> </w:t>
      </w:r>
      <w:r>
        <w:t xml:space="preserve">under</w:t>
      </w:r>
      <w:r>
        <w:t xml:space="preserve"> </w:t>
      </w:r>
      <w:r>
        <w:t xml:space="preserve">climate</w:t>
      </w:r>
      <w:r>
        <w:t xml:space="preserve"> </w:t>
      </w:r>
      <w:r>
        <w:t xml:space="preserve">change</w:t>
      </w:r>
    </w:p>
    <w:p>
      <w:pPr>
        <w:pStyle w:val="FirstParagraph"/>
      </w:pPr>
      <w:r>
        <w:t xml:space="preserve">Daniel W.A. Noble</w:t>
      </w:r>
      <m:oMath>
        <m:sSup>
          <m:e>
            <m:r>
              <m:t>​</m:t>
            </m:r>
          </m:e>
          <m:sup>
            <m:r>
              <m:t>1</m:t>
            </m:r>
          </m:sup>
        </m:sSup>
      </m:oMath>
      <w:r>
        <w:t xml:space="preserve">, Fonti Kar</w:t>
      </w:r>
      <m:oMath>
        <m:sSup>
          <m:e>
            <m:r>
              <m:t>​</m:t>
            </m:r>
          </m:e>
          <m:sup>
            <m:r>
              <m:t>2</m:t>
            </m:r>
          </m:sup>
        </m:sSup>
      </m:oMath>
      <w:r>
        <w:t xml:space="preserve">, Frank Seebacher</w:t>
      </w:r>
      <m:oMath>
        <m:sSup>
          <m:e>
            <m:r>
              <m:t>​</m:t>
            </m:r>
          </m:e>
          <m:sup>
            <m:r>
              <m:t>3</m:t>
            </m:r>
          </m:sup>
        </m:sSup>
      </m:oMath>
      <w:r>
        <w:t xml:space="preserve">, Alex Bush</w:t>
      </w:r>
      <m:oMath>
        <m:sSup>
          <m:e>
            <m:r>
              <m:t>​</m:t>
            </m:r>
          </m:e>
          <m:sup>
            <m:r>
              <m:t>4</m:t>
            </m:r>
          </m:sup>
        </m:sSup>
      </m:oMath>
      <w:r>
        <w:t xml:space="preserve">, &amp; Shinichi Nakagawa</w:t>
      </w:r>
      <m:oMath>
        <m:sSup>
          <m:e>
            <m:r>
              <m:t>​</m:t>
            </m:r>
          </m:e>
          <m:sup>
            <m:r>
              <m:t>2</m:t>
            </m:r>
          </m:sup>
        </m:sSup>
      </m:oMath>
    </w:p>
    <w:bookmarkStart w:id="20" w:name="affliations"/>
    <w:p>
      <w:pPr>
        <w:pStyle w:val="Heading4"/>
      </w:pPr>
      <w:r>
        <w:t xml:space="preserve">Affliations:</w:t>
      </w:r>
    </w:p>
    <w:p>
      <w:pPr>
        <w:pStyle w:val="FirstParagraph"/>
      </w:pPr>
      <m:oMath>
        <m:sSup>
          <m:e>
            <m:r>
              <m:t>​</m:t>
            </m:r>
          </m:e>
          <m:sup>
            <m:r>
              <m:t>1</m:t>
            </m:r>
          </m:sup>
        </m:sSup>
      </m:oMath>
      <w:r>
        <w:t xml:space="preserve"> </w:t>
      </w:r>
      <w:r>
        <w:t xml:space="preserve">Division of Ecology and Evolution, Research School of Biology, The Australian National University, Canberra, ACT 2600, Australia</w:t>
      </w:r>
      <w:r>
        <w:t xml:space="preserve"> </w:t>
      </w:r>
      <m:oMath>
        <m:sSup>
          <m:e>
            <m:r>
              <m:t>​</m:t>
            </m:r>
          </m:e>
          <m:sup>
            <m:r>
              <m:t>2</m:t>
            </m:r>
          </m:sup>
        </m:sSup>
      </m:oMath>
      <w:r>
        <w:t xml:space="preserve"> </w:t>
      </w:r>
      <w:r>
        <w:t xml:space="preserve">Ecology and Evolution Research Centre, School of Biological, Earth and Environmental Sciences, University of New South Wales, Sydney, NSW, Australia</w:t>
      </w:r>
      <w:r>
        <w:t xml:space="preserve"> </w:t>
      </w:r>
      <m:oMath>
        <m:sSup>
          <m:e>
            <m:r>
              <m:t>​</m:t>
            </m:r>
          </m:e>
          <m:sup>
            <m:r>
              <m:t>3</m:t>
            </m:r>
          </m:sup>
        </m:sSup>
      </m:oMath>
      <w:r>
        <w:t xml:space="preserve"> </w:t>
      </w:r>
      <w:r>
        <w:t xml:space="preserve">SOLES, University of Sydney, Sydney, NSW, Australia</w:t>
      </w:r>
      <w:r>
        <w:t xml:space="preserve"> </w:t>
      </w:r>
      <m:oMath>
        <m:sSup>
          <m:e>
            <m:r>
              <m:t>​</m:t>
            </m:r>
          </m:e>
          <m:sup>
            <m:r>
              <m:t>4</m:t>
            </m:r>
          </m:sup>
        </m:sSup>
      </m:oMath>
      <w:r>
        <w:t xml:space="preserve"> </w:t>
      </w:r>
      <w:r>
        <w:t xml:space="preserve">Department of Biology, Lancaster University, Liverpool, UK</w:t>
      </w:r>
    </w:p>
    <w:bookmarkEnd w:id="20"/>
    <w:bookmarkStart w:id="21" w:name="abstract"/>
    <w:p>
      <w:pPr>
        <w:pStyle w:val="Heading2"/>
      </w:pPr>
      <w:r>
        <w:rPr>
          <w:bCs/>
          <w:b/>
        </w:rPr>
        <w:t xml:space="preserve">Abstract</w:t>
      </w:r>
    </w:p>
    <w:bookmarkEnd w:id="21"/>
    <w:bookmarkStart w:id="22" w:name="introduction"/>
    <w:p>
      <w:pPr>
        <w:pStyle w:val="Heading2"/>
      </w:pPr>
      <w:r>
        <w:rPr>
          <w:bCs/>
          <w:b/>
        </w:rPr>
        <w:t xml:space="preserve">Introduction</w:t>
      </w:r>
    </w:p>
    <w:p>
      <w:pPr>
        <w:pStyle w:val="FirstParagraph"/>
      </w:pPr>
      <w:r>
        <w:t xml:space="preserve">Variable thermal environments are expected to result in strong selection pressures that lead to adaptation or the evolution of phenotypic plasticity – both of which are considered critical for population resilience to human-induced climate change</w:t>
      </w:r>
      <w:r>
        <w:t xml:space="preserve"> </w:t>
      </w:r>
      <w:r>
        <w:t xml:space="preserve">(Seebacher</w:t>
      </w:r>
      <w:r>
        <w:t xml:space="preserve"> </w:t>
      </w:r>
      <w:r>
        <w:rPr>
          <w:iCs/>
          <w:i/>
        </w:rPr>
        <w:t xml:space="preserve">et al.</w:t>
      </w:r>
      <w:r>
        <w:t xml:space="preserve"> </w:t>
      </w:r>
      <w:r>
        <w:t xml:space="preserve">2015)</w:t>
      </w:r>
      <w:r>
        <w:t xml:space="preserve">. Phenotypic plasticity is predicted to evolve when environmental variability is high but predictable. Despite this theoretical expectation, empirical support for this prediction is scant [], likely because many organisms can behaviorally adjust micro-habitat selection to offset thermal stress, the costs of plasticity are high [], and/or the prediction is likely only supported for specific plastic responses (i.e., active and developmental plasticity). Reversible forms of phenotypic plasticity, such as acclimatization, may not be expected to adhere to such predictions.</w:t>
      </w:r>
    </w:p>
    <w:p>
      <w:pPr>
        <w:pStyle w:val="BodyText"/>
      </w:pPr>
      <w:r>
        <w:t xml:space="preserve">Periods of past climatic change have had disproportionate impacts on some ecosystems over others leading to debates over which ecosystems will be most vulnerable to contemporary climate change. Studies have highlighted species occupying terrestrial ecosystems as being particularly vulnerable given their weak acclimation abilities and greater probability of experiencing thermal extremes that overwhelm physiological homeostasis</w:t>
      </w:r>
      <w:r>
        <w:t xml:space="preserve"> </w:t>
      </w:r>
      <w:r>
        <w:t xml:space="preserve">Seebacher</w:t>
      </w:r>
      <w:r>
        <w:t xml:space="preserve"> </w:t>
      </w:r>
      <w:r>
        <w:rPr>
          <w:iCs/>
          <w:i/>
        </w:rPr>
        <w:t xml:space="preserve">et al.</w:t>
      </w:r>
      <w:r>
        <w:t xml:space="preserve"> </w:t>
      </w:r>
      <w:r>
        <w:t xml:space="preserve">(2015)</w:t>
      </w:r>
      <w:r>
        <w:t xml:space="preserve">;</w:t>
      </w:r>
      <w:r>
        <w:t xml:space="preserve"> </w:t>
      </w:r>
      <w:r>
        <w:t xml:space="preserve">Gunderson &amp; Stillman (2015)</w:t>
      </w:r>
      <w:r>
        <w:t xml:space="preserve">;</w:t>
      </w:r>
      <w:r>
        <w:t xml:space="preserve"> </w:t>
      </w:r>
      <w:r>
        <w:t xml:space="preserve">Pinsky</w:t>
      </w:r>
      <w:r>
        <w:t xml:space="preserve"> </w:t>
      </w:r>
      <w:r>
        <w:rPr>
          <w:iCs/>
          <w:i/>
        </w:rPr>
        <w:t xml:space="preserve">et al.</w:t>
      </w:r>
      <w:r>
        <w:t xml:space="preserve"> </w:t>
      </w:r>
      <w:r>
        <w:t xml:space="preserve">(2019)</w:t>
      </w:r>
      <w:r>
        <w:t xml:space="preserve">]. Despite marine and freshwater ecosystems appearing to have greater physiological acclimation capacity</w:t>
      </w:r>
      <w:r>
        <w:t xml:space="preserve"> </w:t>
      </w:r>
      <w:r>
        <w:t xml:space="preserve">(e.g., see Seebacher</w:t>
      </w:r>
      <w:r>
        <w:t xml:space="preserve"> </w:t>
      </w:r>
      <w:r>
        <w:rPr>
          <w:iCs/>
          <w:i/>
        </w:rPr>
        <w:t xml:space="preserve">et al.</w:t>
      </w:r>
      <w:r>
        <w:t xml:space="preserve"> </w:t>
      </w:r>
      <w:r>
        <w:t xml:space="preserve">2015)</w:t>
      </w:r>
      <w:r>
        <w:t xml:space="preserve">, it is unclear if the magnitude of physiological adjustment is sufficient. In addition, low oxygen availability has been suggested as a major factor influencing the vulnerability of aquatic ecosystems.</w:t>
      </w:r>
    </w:p>
    <w:p>
      <w:pPr>
        <w:pStyle w:val="BodyText"/>
      </w:pPr>
      <w:r>
        <w:t xml:space="preserve">Applying new effect sizes that allow us to make use of powerful meta-analytic models we: 1) re-evaluate the degree to which aquatic and terrestrial ectotherms are capable of physiological plasticity; 2) test whether the opportunity for selection on physiological traits changes as temperatures rise, by applying new effect sizes that capture changes in physiological trait variance, and 3) test whether climate variability and predictability explain a populations acclimation capacity and affect changes in trait variance.</w:t>
      </w:r>
    </w:p>
    <w:bookmarkEnd w:id="22"/>
    <w:bookmarkStart w:id="42" w:name="materials-and-methods"/>
    <w:p>
      <w:pPr>
        <w:pStyle w:val="Heading2"/>
      </w:pPr>
      <w:r>
        <w:rPr>
          <w:bCs/>
          <w:b/>
        </w:rPr>
        <w:t xml:space="preserve">Materials and Methods</w:t>
      </w:r>
    </w:p>
    <w:bookmarkStart w:id="23"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t xml:space="preserve"> </w:t>
      </w:r>
      <w:r>
        <w:t xml:space="preserve">(Seebacher</w:t>
      </w:r>
      <w:r>
        <w:t xml:space="preserve"> </w:t>
      </w:r>
      <w:r>
        <w:rPr>
          <w:iCs/>
          <w:i/>
        </w:rPr>
        <w:t xml:space="preserve">et al.</w:t>
      </w:r>
      <w:r>
        <w:t xml:space="preserve"> </w:t>
      </w:r>
      <w:r>
        <w:t xml:space="preserve">2015)</w:t>
      </w:r>
      <w:r>
        <w:t xml:space="preserve"> </w:t>
      </w:r>
      <w:r>
        <w:t xml:space="preserve">and updated</w:t>
      </w:r>
      <w:r>
        <w:t xml:space="preserve"> </w:t>
      </w:r>
      <w:r>
        <w:t xml:space="preserve">Seebacher</w:t>
      </w:r>
      <w:r>
        <w:t xml:space="preserve"> </w:t>
      </w:r>
      <w:r>
        <w:rPr>
          <w:iCs/>
          <w:i/>
        </w:rPr>
        <w:t xml:space="preserve">et al.</w:t>
      </w:r>
      <w:r>
        <w:t xml:space="preserve"> </w:t>
      </w:r>
      <w:r>
        <w:t xml:space="preserve">(2015)</w:t>
      </w:r>
      <w:r>
        <w:t xml:space="preserve">’s data by extracting data from suitable studies from our own searches that followed the same search protocol. More specifically, we performed a literature search on the 28th of June 2017 using the Web of Science database. We limited our search to articles or proceedings papers published in English from 2013 to 2017</w:t>
      </w:r>
      <w:r>
        <w:t xml:space="preserve"> </w:t>
      </w:r>
      <w:r>
        <w:t xml:space="preserve">(the date after Seebacher</w:t>
      </w:r>
      <w:r>
        <w:t xml:space="preserve"> </w:t>
      </w:r>
      <w:r>
        <w:rPr>
          <w:iCs/>
          <w:i/>
        </w:rPr>
        <w:t xml:space="preserve">et al.</w:t>
      </w:r>
      <w:r>
        <w:t xml:space="preserve"> </w:t>
      </w:r>
      <w:r>
        <w:t xml:space="preserve">2015 searches were conducted)</w:t>
      </w:r>
      <w:r>
        <w:t xml:space="preserve"> </w:t>
      </w:r>
      <w:r>
        <w:t xml:space="preserve">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t xml:space="preserve"> </w:t>
      </w:r>
      <w:r>
        <w:t xml:space="preserve">(Ouzzani</w:t>
      </w:r>
      <w:r>
        <w:t xml:space="preserve"> </w:t>
      </w:r>
      <w:r>
        <w:rPr>
          <w:iCs/>
          <w:i/>
        </w:rPr>
        <w:t xml:space="preserve">et al.</w:t>
      </w:r>
      <w:r>
        <w:t xml:space="preserve"> </w:t>
      </w:r>
      <w:r>
        <w:t xml:space="preserve">2016)</w:t>
      </w:r>
      <w:r>
        <w:t xml:space="preserve">. We also cross-checked papers we found in our searches with a recent paper by</w:t>
      </w:r>
      <w:r>
        <w:t xml:space="preserve"> </w:t>
      </w:r>
      <w:r>
        <w:t xml:space="preserve">Havird</w:t>
      </w:r>
      <w:r>
        <w:t xml:space="preserve"> </w:t>
      </w:r>
      <w:r>
        <w:rPr>
          <w:iCs/>
          <w:i/>
        </w:rPr>
        <w:t xml:space="preserve">et al.</w:t>
      </w:r>
      <w:r>
        <w:t xml:space="preserve"> </w:t>
      </w:r>
      <w:r>
        <w:t xml:space="preserve">(2020)</w:t>
      </w:r>
      <w:r>
        <w:t xml:space="preserve">, which also updates</w:t>
      </w:r>
      <w:r>
        <w:t xml:space="preserve"> </w:t>
      </w:r>
      <w:r>
        <w:t xml:space="preserve">Seebacher</w:t>
      </w:r>
      <w:r>
        <w:t xml:space="preserve"> </w:t>
      </w:r>
      <w:r>
        <w:rPr>
          <w:iCs/>
          <w:i/>
        </w:rPr>
        <w:t xml:space="preserve">et al.</w:t>
      </w:r>
      <w:r>
        <w:t xml:space="preserve"> </w:t>
      </w:r>
      <w:r>
        <w:t xml:space="preserve">(2015)</w:t>
      </w:r>
      <w:r>
        <w:t xml:space="preserve">’s dataset. We included any papers that were missed between our searches and those of</w:t>
      </w:r>
      <w:r>
        <w:t xml:space="preserve"> </w:t>
      </w:r>
      <w:r>
        <w:t xml:space="preserve">Havird</w:t>
      </w:r>
      <w:r>
        <w:t xml:space="preserve"> </w:t>
      </w:r>
      <w:r>
        <w:rPr>
          <w:iCs/>
          <w:i/>
        </w:rPr>
        <w:t xml:space="preserve">et al.</w:t>
      </w:r>
      <w:r>
        <w:t xml:space="preserve"> </w:t>
      </w:r>
      <w:r>
        <w:t xml:space="preserve">(2020)</w:t>
      </w:r>
      <w:r>
        <w:t xml:space="preserve"> </w:t>
      </w:r>
      <w:r>
        <w:t xml:space="preserve">from the dates 2013-2017.</w:t>
      </w:r>
      <w:r>
        <w:t xml:space="preserve"> </w:t>
      </w:r>
      <w:r>
        <w:t xml:space="preserve">Havird</w:t>
      </w:r>
      <w:r>
        <w:t xml:space="preserve"> </w:t>
      </w:r>
      <w:r>
        <w:rPr>
          <w:iCs/>
          <w:i/>
        </w:rPr>
        <w:t xml:space="preserve">et al.</w:t>
      </w:r>
      <w:r>
        <w:t xml:space="preserve"> </w:t>
      </w:r>
      <w:r>
        <w:t xml:space="preserve">(2020)</w:t>
      </w:r>
      <w:r>
        <w:t xml:space="preserve"> </w:t>
      </w:r>
      <w:r>
        <w:t xml:space="preserve">added 7 new studies between 2013-2017 (mainly because they were focused on metabolic rates), and our searches differed from theirs by only a single paper</w:t>
      </w:r>
      <w:r>
        <w:t xml:space="preserve"> </w:t>
      </w:r>
      <w:r>
        <w:t xml:space="preserve">(i.e., Bulgarella</w:t>
      </w:r>
      <w:r>
        <w:t xml:space="preserve"> </w:t>
      </w:r>
      <w:r>
        <w:rPr>
          <w:iCs/>
          <w:i/>
        </w:rPr>
        <w:t xml:space="preserve">et al.</w:t>
      </w:r>
      <w:r>
        <w:t xml:space="preserve"> </w:t>
      </w:r>
      <w:r>
        <w:t xml:space="preserve">2015)</w:t>
      </w:r>
      <w:r>
        <w:t xml:space="preserve">. Given the physiological traits we included were broader, we had a substantial increase in additional papers that we added to</w:t>
      </w:r>
      <w:r>
        <w:t xml:space="preserve"> </w:t>
      </w:r>
      <w:r>
        <w:t xml:space="preserve">Seebacher</w:t>
      </w:r>
      <w:r>
        <w:t xml:space="preserve"> </w:t>
      </w:r>
      <w:r>
        <w:rPr>
          <w:iCs/>
          <w:i/>
        </w:rPr>
        <w:t xml:space="preserve">et al.</w:t>
      </w:r>
      <w:r>
        <w:t xml:space="preserve"> </w:t>
      </w:r>
      <w:r>
        <w:t xml:space="preserve">(2015)</w:t>
      </w:r>
      <w:r>
        <w:t xml:space="preserve">’s dataset. More specifically, in addition to the 191 papers we included from the</w:t>
      </w:r>
      <w:r>
        <w:t xml:space="preserve"> </w:t>
      </w:r>
      <w:r>
        <w:t xml:space="preserve">Seebacher</w:t>
      </w:r>
      <w:r>
        <w:t xml:space="preserve"> </w:t>
      </w:r>
      <w:r>
        <w:rPr>
          <w:iCs/>
          <w:i/>
        </w:rPr>
        <w:t xml:space="preserve">et al.</w:t>
      </w:r>
      <w:r>
        <w:t xml:space="preserve"> </w:t>
      </w:r>
      <w:r>
        <w:t xml:space="preserve">(2015)</w:t>
      </w:r>
      <w:r>
        <w:t xml:space="preserve"> </w:t>
      </w:r>
      <w:r>
        <w:t xml:space="preserve">dataset, we extracted data from an extra 65 papers (with a total of 238 effects) that were published between 2013 - 2017 (a 34.03% increase in the number of published articles). Note that</w:t>
      </w:r>
      <w:r>
        <w:t xml:space="preserve"> </w:t>
      </w:r>
      <w:r>
        <w:t xml:space="preserve">Seebacher</w:t>
      </w:r>
      <w:r>
        <w:t xml:space="preserve"> </w:t>
      </w:r>
      <w:r>
        <w:rPr>
          <w:iCs/>
          <w:i/>
        </w:rPr>
        <w:t xml:space="preserve">et al.</w:t>
      </w:r>
      <w:r>
        <w:t xml:space="preserve"> </w:t>
      </w:r>
      <w:r>
        <w:t xml:space="preserve">(2015)</w:t>
      </w:r>
      <w:r>
        <w:t xml:space="preserve"> </w:t>
      </w:r>
      <w:r>
        <w:t xml:space="preserve">included a total of 205 publications, however, not all these contained the necessary statistics we needed to derive</w:t>
      </w:r>
      <w:r>
        <w:t xml:space="preserve"> </w:t>
      </w:r>
      <m:oMath>
        <m:sSub>
          <m:e>
            <m:r>
              <m:t>Q</m:t>
            </m:r>
          </m:e>
          <m:sub>
            <m:r>
              <m:t>10</m:t>
            </m:r>
          </m:sub>
        </m:sSub>
      </m:oMath>
      <w:r>
        <w:t xml:space="preserve"> </w:t>
      </w:r>
      <w:r>
        <w:t xml:space="preserve">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t xml:space="preserve"> </w:t>
      </w:r>
      <w:r>
        <w:t xml:space="preserve">Seebacher</w:t>
      </w:r>
      <w:r>
        <w:t xml:space="preserve"> </w:t>
      </w:r>
      <w:r>
        <w:rPr>
          <w:iCs/>
          <w:i/>
        </w:rPr>
        <w:t xml:space="preserve">et al.</w:t>
      </w:r>
      <w:r>
        <w:t xml:space="preserve"> </w:t>
      </w:r>
      <w:r>
        <w:t xml:space="preserve">(2015)</w:t>
      </w:r>
      <w:r>
        <w:t xml:space="preserve"> </w:t>
      </w:r>
      <w:r>
        <w:t xml:space="preserve">to answer questions on acclimation across ectotherms.</w:t>
      </w:r>
    </w:p>
    <w:p>
      <w:pPr>
        <w:pStyle w:val="BodyText"/>
      </w:pPr>
      <w:r>
        <w:t xml:space="preserve">We split the screening of titles and abstracts for the 1,321 papers found in our search among all authors evenly. To ensure consistency among authors in title and abstracts that should be included, prior to screening all authors went through a randomly selected set of papers together - agreeing on those that were relevant and those that were not based on our inclusion criteria (see below). Where any authors were uncertain about whether to include a paper in the sub-sample they screened, we conservatively included the paper for full text screening and discussed uncertain papers among authors to come to a decision on whether to include the paper. After title and abstract screening, we were left with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w:t>
      </w:r>
    </w:p>
    <w:bookmarkEnd w:id="23"/>
    <w:bookmarkStart w:id="24"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t xml:space="preserve"> </w:t>
      </w:r>
      <w:r>
        <w:t xml:space="preserve">(Pick</w:t>
      </w:r>
      <w:r>
        <w:t xml:space="preserve"> </w:t>
      </w:r>
      <w:r>
        <w:rPr>
          <w:iCs/>
          <w:i/>
        </w:rPr>
        <w:t xml:space="preserve">et al.</w:t>
      </w:r>
      <w:r>
        <w:t xml:space="preserve"> </w:t>
      </w:r>
      <w:r>
        <w:t xml:space="preserve">2019)</w:t>
      </w:r>
      <w:r>
        <w:t xml:space="preserve">. We also recorded the phylum, class, order, genus and species under study and the latitude and longitude of the population that was being studied. For studies that did not provide latitude and longitude for the population, we searched for similar studies by the lab group to identify where the population was likely to have been sourced or derived from when needed. If the population was derived from the wild, we recorded the nearest latitude and longitude of the population to the field collection site. If the animals had been sourced from a commercial supplier, we took the latitude and longitude of the supplier that the paper identified the animals to have originated from. When it was not possible to find latitude and longitude using these methods, we looked up the distribution of the species in question and took the latitude and longitude of the centroid of the species’ distributional range.</w:t>
      </w:r>
    </w:p>
    <w:bookmarkEnd w:id="24"/>
    <w:bookmarkStart w:id="34"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w:t>
      </w:r>
      <w:r>
        <w:t xml:space="preserve"> </w:t>
      </w:r>
      <w:r>
        <w:t xml:space="preserve">Noble</w:t>
      </w:r>
      <w:r>
        <w:t xml:space="preserve"> </w:t>
      </w:r>
      <w:r>
        <w:rPr>
          <w:iCs/>
          <w:i/>
        </w:rPr>
        <w:t xml:space="preserve">et al.</w:t>
      </w:r>
      <w:r>
        <w:t xml:space="preserve"> </w:t>
      </w:r>
      <w:r>
        <w:t xml:space="preserve">(2022)</w:t>
      </w:r>
      <w:r>
        <w:t xml:space="preserve"> </w:t>
      </w:r>
      <w:r>
        <w:t xml:space="preserve">we calculated a series of temperature 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for their sampling variances. Sampling variances for effect sizes allowed us to make use of traditional meta-analytic modelling approaches.</w:t>
      </w:r>
    </w:p>
    <w:bookmarkStart w:id="27"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t xml:space="preserve"> </w:t>
      </w:r>
      <w:r>
        <w:t xml:space="preserve">(Noble</w:t>
      </w:r>
      <w:r>
        <w:t xml:space="preserve"> </w:t>
      </w:r>
      <w:r>
        <w:rPr>
          <w:iCs/>
          <w:i/>
        </w:rPr>
        <w:t xml:space="preserve">et al.</w:t>
      </w:r>
      <w:r>
        <w:t xml:space="preserve"> </w:t>
      </w:r>
      <w:r>
        <w:t xml:space="preserve">2022)</w:t>
      </w:r>
      <w:r>
        <w:t xml:space="preserve"> </w:t>
      </w:r>
      <w:r>
        <w:t xml:space="preserve">as follows:</w:t>
      </w:r>
    </w:p>
    <w:p>
      <w:pPr>
        <w:pStyle w:val="BodyText"/>
      </w:pPr>
      <w:bookmarkStart w:id="25"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25"/>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that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t xml:space="preserve"> </w:t>
      </w:r>
      <w:r>
        <w:t xml:space="preserve">(Hedges</w:t>
      </w:r>
      <w:r>
        <w:t xml:space="preserve"> </w:t>
      </w:r>
      <w:r>
        <w:rPr>
          <w:iCs/>
          <w:i/>
        </w:rPr>
        <w:t xml:space="preserve">et al.</w:t>
      </w:r>
      <w:r>
        <w:t xml:space="preserve"> </w:t>
      </w:r>
      <w:r>
        <w:t xml:space="preserve">1999; Lajeunesse 2011)</w:t>
      </w:r>
      <w:r>
        <w:t xml:space="preserve"> </w:t>
      </w:r>
      <w:r>
        <w:t xml:space="preserve">when the numerator and denominator are measured at different temperatures. This allows one to compare the mean of two temperature treatments directly regardless of the temperatures that these groups have been measured. The sampling variance for</w:t>
      </w:r>
      <w:r>
        <w:t xml:space="preserve"> </w:t>
      </w:r>
      <w:hyperlink w:anchor="eq-lnq10">
        <w:r>
          <w:rPr>
            <w:rStyle w:val="Hyperlink"/>
          </w:rPr>
          <w:t xml:space="preserve">Equation 1</w:t>
        </w:r>
      </w:hyperlink>
      <w:r>
        <w:t xml:space="preserve"> </w:t>
      </w:r>
      <w:r>
        <w:t xml:space="preserve">can be computed as follows (as described in</w:t>
      </w:r>
      <w:r>
        <w:t xml:space="preserve"> </w:t>
      </w:r>
      <w:r>
        <w:t xml:space="preserve">Noble</w:t>
      </w:r>
      <w:r>
        <w:t xml:space="preserve"> </w:t>
      </w:r>
      <w:r>
        <w:rPr>
          <w:iCs/>
          <w:i/>
        </w:rPr>
        <w:t xml:space="preserve">et al.</w:t>
      </w:r>
      <w:r>
        <w:t xml:space="preserve"> </w:t>
      </w:r>
      <w:r>
        <w:t xml:space="preserve">(2022)</w:t>
      </w:r>
      <w:r>
        <w:t xml:space="preserve">):</w:t>
      </w:r>
    </w:p>
    <w:p>
      <w:pPr>
        <w:pStyle w:val="BodyText"/>
      </w:pPr>
      <w:bookmarkStart w:id="26"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26"/>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27"/>
    <w:bookmarkStart w:id="32" w:name="X75718e4b1b83775e048cfa6d169e8d942ee68d0"/>
    <w:p>
      <w:pPr>
        <w:pStyle w:val="Heading4"/>
      </w:pPr>
      <w:r>
        <w:rPr>
          <w:iCs/>
          <w:i/>
        </w:rPr>
        <w:t xml:space="preserve">Comparing variance in physiological rates</w:t>
      </w:r>
    </w:p>
    <w:p>
      <w:pPr>
        <w:pStyle w:val="FirstParagraph"/>
      </w:pPr>
      <w:r>
        <w:t xml:space="preserve">Nakagawa</w:t>
      </w:r>
      <w:r>
        <w:t xml:space="preserve"> </w:t>
      </w:r>
      <w:r>
        <w:rPr>
          <w:iCs/>
          <w:i/>
        </w:rPr>
        <w:t xml:space="preserve">et al.</w:t>
      </w:r>
      <w:r>
        <w:t xml:space="preserve"> </w:t>
      </w:r>
      <w:r>
        <w:t xml:space="preserve">(2015)</w:t>
      </w:r>
      <w:r>
        <w:t xml:space="preserve"> </w:t>
      </w:r>
      <w:r>
        <w:t xml:space="preserve">recently 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w:t>
      </w:r>
      <w:r>
        <w:t xml:space="preserve"> </w:t>
      </w:r>
      <w:r>
        <w:t xml:space="preserve">Nakagawa</w:t>
      </w:r>
      <w:r>
        <w:t xml:space="preserve"> </w:t>
      </w:r>
      <w:r>
        <w:rPr>
          <w:iCs/>
          <w:i/>
        </w:rPr>
        <w:t xml:space="preserve">et al.</w:t>
      </w:r>
      <w:r>
        <w:t xml:space="preserve"> </w:t>
      </w:r>
      <w:r>
        <w:t xml:space="preserve">(2015)</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28"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28"/>
    </w:p>
    <w:p>
      <w:pPr>
        <w:pStyle w:val="FirstParagraph"/>
      </w:pPr>
      <w:bookmarkStart w:id="29"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29"/>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w:t>
      </w:r>
      <w:r>
        <w:t xml:space="preserve"> </w:t>
      </w:r>
      <w:r>
        <w:t xml:space="preserve">Nakagawa</w:t>
      </w:r>
      <w:r>
        <w:t xml:space="preserve"> </w:t>
      </w:r>
      <w:r>
        <w:rPr>
          <w:iCs/>
          <w:i/>
        </w:rPr>
        <w:t xml:space="preserve">et al.</w:t>
      </w:r>
      <w:r>
        <w:t xml:space="preserve"> </w:t>
      </w:r>
      <w:r>
        <w:t xml:space="preserve">(2015)</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30"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30"/>
    </w:p>
    <w:p>
      <w:pPr>
        <w:pStyle w:val="FirstParagraph"/>
      </w:pPr>
      <w:bookmarkStart w:id="31"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31"/>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w:t>
      </w:r>
    </w:p>
    <w:bookmarkEnd w:id="32"/>
    <w:bookmarkStart w:id="33"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33"/>
    <w:bookmarkEnd w:id="34"/>
    <w:bookmarkStart w:id="35"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t xml:space="preserve"> </w:t>
      </w:r>
      <w:r>
        <w:t xml:space="preserve">(Seebacher</w:t>
      </w:r>
      <w:r>
        <w:t xml:space="preserve"> </w:t>
      </w:r>
      <w:r>
        <w:rPr>
          <w:iCs/>
          <w:i/>
        </w:rPr>
        <w:t xml:space="preserve">et al.</w:t>
      </w:r>
      <w:r>
        <w:t xml:space="preserve"> </w:t>
      </w:r>
      <w:r>
        <w:t xml:space="preserve">2015)</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w:t>
      </w:r>
      <w:r>
        <w:t xml:space="preserve"> </w:t>
      </w:r>
      <w:r>
        <w:t xml:space="preserve">Seebacher</w:t>
      </w:r>
      <w:r>
        <w:t xml:space="preserve"> </w:t>
      </w:r>
      <w:r>
        <w:rPr>
          <w:iCs/>
          <w:i/>
        </w:rPr>
        <w:t xml:space="preserve">et al.</w:t>
      </w:r>
      <w:r>
        <w:t xml:space="preserve"> </w:t>
      </w:r>
      <w:r>
        <w:t xml:space="preserve">(2015)</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t xml:space="preserve"> </w:t>
      </w:r>
      <w:r>
        <w:t xml:space="preserve">(Seebacher</w:t>
      </w:r>
      <w:r>
        <w:t xml:space="preserve"> </w:t>
      </w:r>
      <w:r>
        <w:rPr>
          <w:iCs/>
          <w:i/>
        </w:rPr>
        <w:t xml:space="preserve">et al.</w:t>
      </w:r>
      <w:r>
        <w:t xml:space="preserve"> </w:t>
      </w:r>
      <w:r>
        <w:t xml:space="preserve">2015)</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35"/>
    <w:bookmarkStart w:id="36"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were used for climate analyses.</w:t>
      </w:r>
    </w:p>
    <w:p>
      <w:pPr>
        <w:pStyle w:val="BodyText"/>
      </w:pPr>
      <w:r>
        <w:t xml:space="preserve">Temperature data was extracted using the monthly averages provided by the ERA5 climate model, available from the Copernicus climate data store</w:t>
      </w:r>
      <w:r>
        <w:t xml:space="preserve"> </w:t>
      </w:r>
      <w:r>
        <w:t xml:space="preserve">(Hersbach</w:t>
      </w:r>
      <w:r>
        <w:t xml:space="preserve"> </w:t>
      </w:r>
      <w:r>
        <w:rPr>
          <w:iCs/>
          <w:i/>
        </w:rPr>
        <w:t xml:space="preserve">et al.</w:t>
      </w:r>
      <w:r>
        <w:t xml:space="preserve"> </w:t>
      </w:r>
      <w:r>
        <w:t xml:space="preserve">2020)</w:t>
      </w:r>
      <w:r>
        <w:t xml:space="preserve">. For each population and species in the dataset we extracted a 30-year period (1958-2022) of either surface temperature at 2 meters for both terrestrial and freshwater taxa, or sea surface temperature for the marine taxa using the</w:t>
      </w:r>
      <w:r>
        <w:t xml:space="preserve"> </w:t>
      </w:r>
      <w:r>
        <w:rPr>
          <w:iCs/>
          <w:i/>
        </w:rPr>
        <w:t xml:space="preserve">ncdf4</w:t>
      </w:r>
      <w:r>
        <w:t xml:space="preserve"> </w:t>
      </w:r>
      <w:r>
        <w:t xml:space="preserve">R package</w:t>
      </w:r>
      <w:r>
        <w:t xml:space="preserve"> </w:t>
      </w:r>
      <w:r>
        <w:t xml:space="preserve">(vers. 1.19, Pierce 2021)</w:t>
      </w:r>
      <w:r>
        <w:t xml:space="preserve">. We chose a 2-meter resolution because we believed that it more likely to reflects the micro-thermal environment experienced by terrestrial and freshwater ectotherms at those locations.</w:t>
      </w:r>
    </w:p>
    <w:p>
      <w:pPr>
        <w:pStyle w:val="BodyText"/>
      </w:pPr>
      <w:r>
        <w:t xml:space="preserve">Using the thermal time-series data for each location we summarised various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bookmarkEnd w:id="36"/>
    <w:bookmarkStart w:id="39" w:name="meta-analysis"/>
    <w:p>
      <w:pPr>
        <w:pStyle w:val="Heading3"/>
      </w:pPr>
      <w:r>
        <w:rPr>
          <w:iCs/>
          <w:i/>
        </w:rPr>
        <w:t xml:space="preserve">Meta-Analysis</w:t>
      </w:r>
    </w:p>
    <w:p>
      <w:pPr>
        <w:pStyle w:val="FirstParagraph"/>
      </w:pPr>
      <w:r>
        <w:t xml:space="preserve">We analysed our data using multilevel meta-analytic (MLMA) and meta-regression (MLMR) models in R (vers. 4.2.0) using</w:t>
      </w:r>
      <w:r>
        <w:t xml:space="preserve"> </w:t>
      </w:r>
      <w:r>
        <w:rPr>
          <w:iCs/>
          <w:i/>
        </w:rPr>
        <w:t xml:space="preserve">brms</w:t>
      </w:r>
      <w:r>
        <w:t xml:space="preserve"> </w:t>
      </w:r>
      <w:r>
        <w:t xml:space="preserve">(vers. 2.17.0 Bürkner 2017, 2018;</w:t>
      </w:r>
      <w:r>
        <w:t xml:space="preserve"> </w:t>
      </w:r>
      <w:r>
        <w:t xml:space="preserve">“Stan development team.</w:t>
      </w:r>
      <w:r>
        <w:t xml:space="preserve"> </w:t>
      </w:r>
      <w:r>
        <w:t xml:space="preserve">RStan</w:t>
      </w:r>
      <w:r>
        <w:t xml:space="preserve">”</w:t>
      </w:r>
      <w:r>
        <w:t xml:space="preserve"> </w:t>
      </w:r>
      <w:r>
        <w:t xml:space="preserve">2021)</w:t>
      </w:r>
      <w:r>
        <w:t xml:space="preserve"> </w:t>
      </w:r>
      <w:r>
        <w:t xml:space="preserve">and</w:t>
      </w:r>
      <w:r>
        <w:t xml:space="preserve"> </w:t>
      </w:r>
      <w:r>
        <w:rPr>
          <w:iCs/>
          <w:i/>
        </w:rPr>
        <w:t xml:space="preserve">metafor</w:t>
      </w:r>
      <w:r>
        <w:t xml:space="preserve"> </w:t>
      </w:r>
      <w:r>
        <w:t xml:space="preserve">(vers. 3.8.1 Viechtbauer 2010)</w:t>
      </w:r>
      <w:r>
        <w:t xml:space="preserve">. We fit both Bayesian and frequentist approaches to ensure that our results were consistent, and to create orchard plots more easily</w:t>
      </w:r>
      <w:r>
        <w:t xml:space="preserve"> </w:t>
      </w:r>
      <w:r>
        <w:t xml:space="preserve">(vers. 2.0, Nakagawa</w:t>
      </w:r>
      <w:r>
        <w:t xml:space="preserve"> </w:t>
      </w:r>
      <w:r>
        <w:rPr>
          <w:iCs/>
          <w:i/>
        </w:rPr>
        <w:t xml:space="preserve">et al.</w:t>
      </w:r>
      <w:r>
        <w:t xml:space="preserve"> </w:t>
      </w:r>
      <w:r>
        <w:t xml:space="preserve">2021a)</w:t>
      </w:r>
      <w:r>
        <w:t xml:space="preserve">. In addition, Bayesian methods better protect against type I errors in the presence of complex sources of non-independence</w:t>
      </w:r>
      <w:r>
        <w:t xml:space="preserve"> </w:t>
      </w:r>
      <w:r>
        <w:t xml:space="preserve">(Nakagawa</w:t>
      </w:r>
      <w:r>
        <w:t xml:space="preserve"> </w:t>
      </w:r>
      <w:r>
        <w:rPr>
          <w:iCs/>
          <w:i/>
        </w:rPr>
        <w:t xml:space="preserve">et al.</w:t>
      </w:r>
      <w:r>
        <w:t xml:space="preserve"> </w:t>
      </w:r>
      <w:r>
        <w:t xml:space="preserve">2021b; Song</w:t>
      </w:r>
      <w:r>
        <w:t xml:space="preserve"> </w:t>
      </w:r>
      <w:r>
        <w:rPr>
          <w:iCs/>
          <w:i/>
        </w:rPr>
        <w:t xml:space="preserve">et al.</w:t>
      </w:r>
      <w:r>
        <w:t xml:space="preserve"> </w:t>
      </w:r>
      <w:r>
        <w:t xml:space="preserve">2021)</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37"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 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t xml:space="preserve"> </w:t>
      </w:r>
      <w:r>
        <w:t xml:space="preserve">Nakagawa &amp; Santos (2012)</w:t>
      </w:r>
      <w:r>
        <w:t xml:space="preserve">;</w:t>
      </w:r>
      <w:r>
        <w:t xml:space="preserve"> </w:t>
      </w:r>
      <w:r>
        <w:t xml:space="preserve">Noble</w:t>
      </w:r>
      <w:r>
        <w:t xml:space="preserve"> </w:t>
      </w:r>
      <w:r>
        <w:rPr>
          <w:iCs/>
          <w:i/>
        </w:rPr>
        <w:t xml:space="preserve">et al.</w:t>
      </w:r>
      <w:r>
        <w:t xml:space="preserve"> </w:t>
      </w:r>
      <w:r>
        <w:t xml:space="preserve">(2022)</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t xml:space="preserve"> </w:t>
      </w:r>
      <w:r>
        <w:t xml:space="preserve">(Nakagawa &amp; Santos 2012)</w:t>
      </w:r>
      <w:r>
        <w:t xml:space="preserve">. We also present 95% prediction intervals which describe the expected distribution of effects from future studies</w:t>
      </w:r>
      <w:r>
        <w:t xml:space="preserve"> </w:t>
      </w:r>
      <w:r>
        <w:t xml:space="preserve">(Nakagawa</w:t>
      </w:r>
      <w:r>
        <w:t xml:space="preserve"> </w:t>
      </w:r>
      <w:r>
        <w:rPr>
          <w:iCs/>
          <w:i/>
        </w:rPr>
        <w:t xml:space="preserve">et al.</w:t>
      </w:r>
      <w:r>
        <w:t xml:space="preserve"> </w:t>
      </w:r>
      <w:r>
        <w:t xml:space="preserve">2021a; Noble</w:t>
      </w:r>
      <w:r>
        <w:t xml:space="preserve"> </w:t>
      </w:r>
      <w:r>
        <w:rPr>
          <w:iCs/>
          <w:i/>
        </w:rPr>
        <w:t xml:space="preserve">et al.</w:t>
      </w:r>
      <w:r>
        <w:t xml:space="preserve"> </w:t>
      </w:r>
      <w:r>
        <w:t xml:space="preserve">2022)</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w:t>
      </w:r>
      <w:r>
        <w:t xml:space="preserve"> </w:t>
      </w:r>
      <w:r>
        <w:t xml:space="preserve">(vers. 3.0.12, Michonneau</w:t>
      </w:r>
      <w:r>
        <w:t xml:space="preserve"> </w:t>
      </w:r>
      <w:r>
        <w:rPr>
          <w:iCs/>
          <w:i/>
        </w:rPr>
        <w:t xml:space="preserve">et al.</w:t>
      </w:r>
      <w:r>
        <w:t xml:space="preserve"> </w:t>
      </w:r>
      <w:r>
        <w:t xml:space="preserve">2016)</w:t>
      </w:r>
      <w:r>
        <w:t xml:space="preserve">, and plotted using</w:t>
      </w:r>
      <w:r>
        <w:t xml:space="preserve"> </w:t>
      </w:r>
      <w:r>
        <w:rPr>
          <w:iCs/>
          <w:i/>
        </w:rPr>
        <w:t xml:space="preserve">ggtree</w:t>
      </w:r>
      <w:r>
        <w:t xml:space="preserve"> </w:t>
      </w:r>
      <w:r>
        <w:t xml:space="preserve">(vers. 3.4.1, Yu</w:t>
      </w:r>
      <w:r>
        <w:t xml:space="preserve"> </w:t>
      </w:r>
      <w:r>
        <w:rPr>
          <w:iCs/>
          <w:i/>
        </w:rPr>
        <w:t xml:space="preserve">et al.</w:t>
      </w:r>
      <w:r>
        <w:t xml:space="preserve"> </w:t>
      </w:r>
      <w:r>
        <w:t xml:space="preserve">2017)</w:t>
      </w:r>
      <w:r>
        <w:t xml:space="preserve">. We resolved all polytomies in the tree. Any missing taxa were replaced with closely related species and branch lengths were computed using Grafen’s method</w:t>
      </w:r>
      <w:r>
        <w:t xml:space="preserve"> </w:t>
      </w:r>
      <w:r>
        <w:t xml:space="preserve">(using power = 0.7, Grafen 1989)</w:t>
      </w:r>
      <w:r>
        <w:t xml:space="preserve">. We used the R packages</w:t>
      </w:r>
      <w:r>
        <w:t xml:space="preserve"> </w:t>
      </w:r>
      <w:r>
        <w:rPr>
          <w:iCs/>
          <w:i/>
        </w:rPr>
        <w:t xml:space="preserve">ape</w:t>
      </w:r>
      <w:r>
        <w:t xml:space="preserve"> </w:t>
      </w:r>
      <w:r>
        <w:t xml:space="preserve">(vers. 5.6.2, Paradis &amp; Schliep 2019)</w:t>
      </w:r>
      <w:r>
        <w:t xml:space="preserve"> </w:t>
      </w:r>
      <w:r>
        <w:t xml:space="preserve">and</w:t>
      </w:r>
      <w:r>
        <w:t xml:space="preserve"> </w:t>
      </w:r>
      <w:r>
        <w:rPr>
          <w:iCs/>
          <w:i/>
        </w:rPr>
        <w:t xml:space="preserve">phytools</w:t>
      </w:r>
      <w:r>
        <w:t xml:space="preserve"> </w:t>
      </w:r>
      <w:r>
        <w:t xml:space="preserve">(vers. 1.0.3, Revell 2012)</w:t>
      </w:r>
      <w:r>
        <w:t xml:space="preserve"> </w:t>
      </w:r>
      <w:r>
        <w:t xml:space="preserve">to prune the tree for individual analyses and calculate phylogenetic covariance (or correlation) matrices used in meta-analytic models.</w:t>
      </w:r>
    </w:p>
    <w:bookmarkEnd w:id="37"/>
    <w:bookmarkStart w:id="38"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w:t>
      </w:r>
      <w:r>
        <w:t xml:space="preserve"> </w:t>
      </w:r>
      <m:oMath>
        <m:r>
          <m:rPr>
            <m:sty m:val="p"/>
          </m:rPr>
          <m:t>±</m:t>
        </m:r>
      </m:oMath>
      <w:r>
        <w:t xml:space="preserve"> </w:t>
      </w:r>
      <w:r>
        <w:t xml:space="preserve">45.19 days), and terrestrial ectotherms were acclimated for a much shorter duration (mean (SD) = 23.53</w:t>
      </w:r>
      <w:r>
        <w:t xml:space="preserve"> </w:t>
      </w:r>
      <m:oMath>
        <m:r>
          <m:rPr>
            <m:sty m:val="p"/>
          </m:rPr>
          <m:t>±</m:t>
        </m:r>
      </m:oMath>
      <w:r>
        <w:t xml:space="preserve"> </w:t>
      </w:r>
      <w:r>
        <w:t xml:space="preserve">15.56, n = 125) than both freshwater (mean (SD) = 36.81</w:t>
      </w:r>
      <w:r>
        <w:t xml:space="preserve"> </w:t>
      </w:r>
      <m:oMath>
        <m:r>
          <m:rPr>
            <m:sty m:val="p"/>
          </m:rPr>
          <m:t>±</m:t>
        </m:r>
      </m:oMath>
      <w:r>
        <w:t xml:space="preserve"> </w:t>
      </w:r>
      <w:r>
        <w:t xml:space="preserve">28.71, n = 430) and marine species (mean (SD) = 46.18</w:t>
      </w:r>
      <w:r>
        <w:t xml:space="preserve"> </w:t>
      </w:r>
      <m:oMath>
        <m:r>
          <m:rPr>
            <m:sty m:val="p"/>
          </m:rPr>
          <m:t>±</m:t>
        </m:r>
      </m:oMath>
      <w:r>
        <w:t xml:space="preserve"> </w:t>
      </w:r>
      <w:r>
        <w:t xml:space="preserve">67.21, n = 313). Rates of acclimation have been shown to be faster for many terrestrial groups compared to aquatic organisms [e.g., amphibians and reptiles have faster rates of acclimation than fishes; See</w:t>
      </w:r>
      <w:r>
        <w:t xml:space="preserve"> </w:t>
      </w:r>
      <w:r>
        <w:t xml:space="preserve">Einum &amp; Burton (2023)</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relative to</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and</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suggests organisms are not capable of physiological plasticity</w:t>
      </w:r>
      <w:r>
        <w:t xml:space="preserve"> </w:t>
      </w:r>
      <w:r>
        <w:t xml:space="preserve">(Havird</w:t>
      </w:r>
      <w:r>
        <w:t xml:space="preserve"> </w:t>
      </w:r>
      <w:r>
        <w:rPr>
          <w:iCs/>
          <w:i/>
        </w:rPr>
        <w:t xml:space="preserve">et al.</w:t>
      </w:r>
      <w:r>
        <w:t xml:space="preserve"> </w:t>
      </w:r>
      <w:r>
        <w:t xml:space="preserve">2020)</w:t>
      </w:r>
      <w:r>
        <w:t xml:space="preserve">. In contrast, a difference in</w:t>
      </w:r>
      <w:r>
        <w:t xml:space="preserve"> </w:t>
      </w:r>
      <m:oMath>
        <m:r>
          <m:t>l</m:t>
        </m:r>
        <m:r>
          <m:t>n</m:t>
        </m:r>
        <m:r>
          <m:t>C</m:t>
        </m:r>
        <m:r>
          <m:t>V</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relative to</w:t>
      </w:r>
      <w:r>
        <w:t xml:space="preserve"> </w:t>
      </w:r>
      <m:oMath>
        <m:r>
          <m:t>l</m:t>
        </m:r>
        <m:r>
          <m:t>n</m:t>
        </m:r>
        <m:r>
          <m:t>C</m:t>
        </m:r>
        <m:r>
          <m:t>V</m:t>
        </m:r>
        <m:sSub>
          <m:e>
            <m:r>
              <m:t>R</m:t>
            </m:r>
          </m:e>
          <m:sub>
            <m:sSub>
              <m:e>
                <m:sSub>
                  <m:e>
                    <m:r>
                      <m:t>Q</m:t>
                    </m:r>
                  </m:e>
                  <m:sub>
                    <m:r>
                      <m:t>10</m:t>
                    </m:r>
                  </m:sub>
                </m:sSub>
              </m:e>
              <m:sub>
                <m:r>
                  <m:t>a</m:t>
                </m:r>
                <m:r>
                  <m:t>c</m:t>
                </m:r>
                <m:r>
                  <m:t>u</m:t>
                </m:r>
                <m:r>
                  <m:t>t</m:t>
                </m:r>
                <m:r>
                  <m:t>e</m:t>
                </m:r>
              </m:sub>
            </m:sSub>
          </m:sub>
        </m:sSub>
      </m:oMath>
      <w:r>
        <w:t xml:space="preserve"> </w:t>
      </w:r>
      <w:r>
        <w:t xml:space="preserve">would imply that changes in between individual variation in physiological rates across 10</w:t>
      </w:r>
      <m:oMath>
        <m:sSup>
          <m:e>
            <m:r>
              <m:t>​</m:t>
            </m:r>
          </m:e>
          <m:sup>
            <m:r>
              <m:rPr>
                <m:sty m:val="p"/>
              </m: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but that this should depend on the habitat type given the different constraints faced by different early life stages across major habitat types.</w:t>
      </w:r>
    </w:p>
    <w:bookmarkEnd w:id="38"/>
    <w:bookmarkEnd w:id="39"/>
    <w:bookmarkStart w:id="40" w:name="sensitivity-analyses"/>
    <w:p>
      <w:pPr>
        <w:pStyle w:val="Heading3"/>
      </w:pPr>
      <w:r>
        <w:rPr>
          <w:iCs/>
          <w:i/>
        </w:rPr>
        <w:t xml:space="preserve">Sensitivity Analyses</w:t>
      </w:r>
    </w:p>
    <w:bookmarkEnd w:id="40"/>
    <w:bookmarkStart w:id="41" w:name="publication-bias"/>
    <w:p>
      <w:pPr>
        <w:pStyle w:val="Heading3"/>
      </w:pPr>
      <w:r>
        <w:rPr>
          <w:iCs/>
          <w:i/>
        </w:rPr>
        <w:t xml:space="preserve">Publication Bias</w:t>
      </w:r>
    </w:p>
    <w:bookmarkEnd w:id="41"/>
    <w:bookmarkEnd w:id="42"/>
    <w:bookmarkStart w:id="62" w:name="results"/>
    <w:p>
      <w:pPr>
        <w:pStyle w:val="Heading2"/>
      </w:pPr>
      <w:r>
        <w:rPr>
          <w:bCs/>
          <w:b/>
        </w:rPr>
        <w:t xml:space="preserve">Results</w:t>
      </w:r>
    </w:p>
    <w:p>
      <w:pPr>
        <w:pStyle w:val="FirstParagraph"/>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both acclimation temperatures had separate acute responses (</w:t>
      </w:r>
      <w:hyperlink w:anchor="fig-1">
        <w:r>
          <w:rPr>
            <w:rStyle w:val="Hyperlink"/>
          </w:rPr>
          <w:t xml:space="preserve">Figure 1</w:t>
        </w:r>
      </w:hyperlink>
      <w:r>
        <w:t xml:space="preserve">). While the two acute</w:t>
      </w:r>
      <w:r>
        <w:t xml:space="preserve"> </w:t>
      </w:r>
      <m:oMath>
        <m:r>
          <m:t>l</m:t>
        </m:r>
        <m:r>
          <m:t>n</m:t>
        </m:r>
        <m:r>
          <m:t>R</m:t>
        </m:r>
        <m:sSub>
          <m:e>
            <m:r>
              <m:t>R</m:t>
            </m:r>
          </m:e>
          <m:sub>
            <m:sSub>
              <m:e>
                <m:r>
                  <m:t>Q</m:t>
                </m:r>
              </m:e>
              <m:sub>
                <m:r>
                  <m:t>10</m:t>
                </m:r>
              </m:sub>
            </m:sSub>
          </m:sub>
        </m:sSub>
      </m:oMath>
      <w:r>
        <w:t xml:space="preserve"> </w:t>
      </w:r>
      <w:r>
        <w:t xml:space="preserve">effect sizes did differ significantly from each other, on average (Acute responses were higher for animals acclimated to high temperatures –</w:t>
      </w:r>
      <w:r>
        <w:t xml:space="preserve"> </w:t>
      </w:r>
      <m:oMath>
        <m:r>
          <m:t>β</m:t>
        </m:r>
      </m:oMath>
      <w:r>
        <w:t xml:space="preserve"> </w:t>
      </w:r>
      <w:r>
        <w:t xml:space="preserve">= 0.07, 95% CI: 0.04 to 0.1, p &lt; 0.0001),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3069, considering acute and acclimation effects together), metabolic enzymes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2394)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963).</w:t>
      </w:r>
    </w:p>
    <w:bookmarkStart w:id="51" w:name="Xf7a896a2824436cd0fe89306caf457d9a436d93"/>
    <w:p>
      <w:pPr>
        <w:pStyle w:val="Heading3"/>
      </w:pPr>
      <w:r>
        <w:rPr>
          <w:iCs/>
          <w:i/>
        </w:rPr>
        <w:t xml:space="preserve">Do terrestrial and aquatic ectotherms differ in their capacity to acclimate?</w:t>
      </w:r>
    </w:p>
    <w:p>
      <w:pPr>
        <w:pStyle w:val="FirstParagraph"/>
      </w:pPr>
      <w:r>
        <w:t xml:space="preserve">Overall,</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and</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differed by only 7.94% across all habitats (95%CI: 4.79 to 11.24%). Ectotherms in marine and freshwater environments showed partial compensation of physiological rates (</w:t>
      </w:r>
      <w:hyperlink w:anchor="fig-1">
        <w:r>
          <w:rPr>
            <w:rStyle w:val="Hyperlink"/>
          </w:rPr>
          <w:t xml:space="preserve">Figure 1</w:t>
        </w:r>
      </w:hyperlink>
      <w:r>
        <w:t xml:space="preserve"> </w:t>
      </w:r>
      <w:r>
        <w:t xml:space="preserve">B) amounting to reduced</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of 10.12% (95% CI: 6.04 to 14.12) in freshwater and 9.26% (95% CI: 2.62 to 15.8) in marine environments. In contrast, terrestrial ectotherms showed no acclimation (possibly even inverse acclimation) – showing a 4.45% increase in</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(95% CI: 0.19 to 11.44,</w:t>
      </w:r>
      <w:r>
        <w:t xml:space="preserve"> </w:t>
      </w:r>
      <w:hyperlink w:anchor="fig-1">
        <w:r>
          <w:rPr>
            <w:rStyle w:val="Hyperlink"/>
          </w:rPr>
          <w:t xml:space="preserve">Figure 1</w:t>
        </w:r>
      </w:hyperlink>
      <w:r>
        <w:t xml:space="preserve"> </w:t>
      </w:r>
      <w:r>
        <w:t xml:space="preserve">B). Considering acute responses of animals acclimated to high temperatures are generally slightly elevated compared to cold acclimated animals (~7%;</w:t>
      </w:r>
      <w:r>
        <w:t xml:space="preserve"> </w:t>
      </w:r>
      <m:oMath>
        <m:r>
          <m:t>β</m:t>
        </m:r>
      </m:oMath>
      <w:r>
        <w:t xml:space="preserve"> </w:t>
      </w:r>
      <w:r>
        <w:t xml:space="preserve">= 0.07, 95% CI: 0.04 to 0.1, p &lt; 0.0001), acclimatization is not likely going to provide adaptive benefits under climate change. Effect heterogeneity was nontheless high (only 2.46% of the variance was the resulting of sampling varianbility, 95% CI: 2.12 to 2.82%), with most variance being explained by the specific study and type of trait (Study: 25.71% , 95% CI: 17.82 to 34.19%; Trait Type: 26.61% , 95% CI: 17.68 to 36.43%). Evolutionary and species specific ecoloogy explained little variation in acute and acclimation repsonses (Species: 2.15% , 95% CI: 0.01 to 7.35%; Phylogeny: 2% , 95% CI: 0 to 9.99%)</w:t>
      </w:r>
    </w:p>
    <w:tbl>
      <w:tblPr>
        <w:tblStyle w:val="Table"/>
        <w:tblW w:type="pct" w:w="5000"/>
        <w:tblLook w:firstRow="0" w:lastRow="0" w:firstColumn="0" w:lastColumn="0" w:noHBand="0" w:noVBand="0" w:val="0000"/>
      </w:tblPr>
      <w:tblGrid>
        <w:gridCol w:w="7920"/>
      </w:tblGrid>
      <w:tr>
        <w:tc>
          <w:tcPr/>
          <w:bookmarkStart w:id="46" w:name="fig-1"/>
          <w:p>
            <w:pPr>
              <w:pStyle w:val="Figure"/>
              <w:jc w:val="center"/>
            </w:pPr>
            <w:r>
              <w:drawing>
                <wp:inline>
                  <wp:extent cx="6680200" cy="4925214"/>
                  <wp:effectExtent b="0" l="0" r="0" t="0"/>
                  <wp:docPr descr="" title="" id="44" name="Picture"/>
                  <a:graphic>
                    <a:graphicData uri="http://schemas.openxmlformats.org/drawingml/2006/picture">
                      <pic:pic>
                        <pic:nvPicPr>
                          <pic:cNvPr descr="ms_files/figure-docx/fig-1-1.png" id="45" name="Picture"/>
                          <pic:cNvPicPr>
                            <a:picLocks noChangeArrowheads="1" noChangeAspect="1"/>
                          </pic:cNvPicPr>
                        </pic:nvPicPr>
                        <pic:blipFill>
                          <a:blip r:embed="rId43"/>
                          <a:stretch>
                            <a:fillRect/>
                          </a:stretch>
                        </pic:blipFill>
                        <pic:spPr bwMode="auto">
                          <a:xfrm>
                            <a:off x="0" y="0"/>
                            <a:ext cx="6680200" cy="49252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Taxonomic distribution of acute and acclimation Q10 estimates across major habitats.</w:t>
            </w:r>
            <w:r>
              <w:t xml:space="preserve"> </w:t>
            </w:r>
            <w:r>
              <w:rPr>
                <w:bCs/>
                <w:b/>
              </w:rPr>
              <w:t xml:space="preserve">A)</w:t>
            </w:r>
            <w:r>
              <w:t xml:space="preserve"> </w:t>
            </w:r>
            <w:r>
              <w:t xml:space="preserve">Phylogenetic distribution of taxa contained within the data. The total number of acute and acclimation type Q10 effect sizes are highlighted as well as whether the taxa is marine, freshwater or terrestrial. Silouettes are representative taxa of major clades within the tree.</w:t>
            </w:r>
            <w:r>
              <w:t xml:space="preserve"> </w:t>
            </w:r>
            <w:r>
              <w:rPr>
                <w:bCs/>
                <w:b/>
              </w:rPr>
              <w:t xml:space="preserve">B)</w:t>
            </w:r>
            <w:r>
              <w:t xml:space="preserve"> </w:t>
            </w:r>
            <w:r>
              <w:t xml:space="preserve">Acute and Acclimation lnRR Q10 across marine, freshwater, and terrestrial environments.</w:t>
            </w:r>
            <w:r>
              <w:t xml:space="preserve"> </w:t>
            </w:r>
            <w:r>
              <w:rPr>
                <w:bCs/>
                <w:b/>
              </w:rPr>
              <w:t xml:space="preserve">C)</w:t>
            </w:r>
            <w:r>
              <w:t xml:space="preserve"> </w:t>
            </w:r>
            <w:r>
              <w:t xml:space="preserve">lnCVR Q10 across traits for marine, freshwater and terrestrial systems. Note there were no differences between acute and acclimation Q10 types. k = total number of effect size estimates while the numbers in brackets indicate the number of species.</w:t>
            </w:r>
          </w:p>
          <w:bookmarkEnd w:id="4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 w:name="fig-2"/>
          <w:p>
            <w:pPr>
              <w:pStyle w:val="Figure"/>
              <w:jc w:val="center"/>
            </w:pPr>
            <w:r>
              <w:drawing>
                <wp:inline>
                  <wp:extent cx="6680200" cy="1668575"/>
                  <wp:effectExtent b="0" l="0" r="0" t="0"/>
                  <wp:docPr descr="" title="" id="48" name="Picture"/>
                  <a:graphic>
                    <a:graphicData uri="http://schemas.openxmlformats.org/drawingml/2006/picture">
                      <pic:pic>
                        <pic:nvPicPr>
                          <pic:cNvPr descr="ms_files/figure-docx/fig-2-1.png" id="49" name="Picture"/>
                          <pic:cNvPicPr>
                            <a:picLocks noChangeArrowheads="1" noChangeAspect="1"/>
                          </pic:cNvPicPr>
                        </pic:nvPicPr>
                        <pic:blipFill>
                          <a:blip r:embed="rId47"/>
                          <a:stretch>
                            <a:fillRect/>
                          </a:stretch>
                        </pic:blipFill>
                        <pic:spPr bwMode="auto">
                          <a:xfrm>
                            <a:off x="0" y="0"/>
                            <a:ext cx="6680200" cy="16685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Acute and Acclimation lnRR q10 across traits for A) marine, B) freshwater and C) terrestrial systems</w:t>
            </w:r>
          </w:p>
          <w:bookmarkEnd w:id="50"/>
        </w:tc>
      </w:tr>
    </w:tbl>
    <w:bookmarkEnd w:id="51"/>
    <w:bookmarkStart w:id="52" w:name="X3393869c47f435e9cf00f18ea1403d82e4fa8de"/>
    <w:p>
      <w:pPr>
        <w:pStyle w:val="Heading3"/>
      </w:pPr>
      <w:r>
        <w:rPr>
          <w:iCs/>
          <w:i/>
        </w:rPr>
        <w:t xml:space="preserve">Does the opportunity for selection differ across terrestrial and aquatic ectotherms?</w:t>
      </w:r>
    </w:p>
    <w:p>
      <w:pPr>
        <w:pStyle w:val="FirstParagraph"/>
      </w:pPr>
      <w:r>
        <w:t xml:space="preserve">The opportunity for selection, as captured by</w:t>
      </w:r>
      <w:r>
        <w:t xml:space="preserve"> </w:t>
      </w:r>
      <m:oMath>
        <m:r>
          <m:t>l</m:t>
        </m:r>
        <m:r>
          <m:t>n</m:t>
        </m:r>
        <m:r>
          <m:t>C</m:t>
        </m:r>
        <m:r>
          <m:t>V</m:t>
        </m:r>
        <m:sSub>
          <m:e>
            <m:r>
              <m:t>R</m:t>
            </m:r>
          </m:e>
          <m:sub>
            <m:sSub>
              <m:e>
                <m:r>
                  <m:t>Q</m:t>
                </m:r>
              </m:e>
              <m:sub>
                <m:r>
                  <m:t>10</m:t>
                </m:r>
              </m:sub>
            </m:sSub>
          </m:sub>
        </m:sSub>
      </m:oMath>
      <w:r>
        <w:t xml:space="preserve">, showed a decrease across all habitat types but were especially pronouced in terrestrial and marine ectotherms. Overall, there was a 27.98% (95% CI: 11.3 to 40.56,</w:t>
      </w:r>
      <w:r>
        <w:t xml:space="preserve"> </w:t>
      </w:r>
      <m:oMath>
        <m:sSub>
          <m:e>
            <m:r>
              <m:t>p</m:t>
            </m:r>
          </m:e>
          <m:sub>
            <m:r>
              <m:t>m</m:t>
            </m:r>
            <m:r>
              <m:t>c</m:t>
            </m:r>
            <m:r>
              <m:t>m</m:t>
            </m:r>
            <m:r>
              <m:t>c</m:t>
            </m:r>
          </m:sub>
        </m:sSub>
      </m:oMath>
      <w:r>
        <w:t xml:space="preserve"> </w:t>
      </w:r>
      <w:r>
        <w:t xml:space="preserve">= 0) reduction in variation in physiological rates for terrestrial ectotherms and a 15.47% (95% CI: 1.85 to 30.27,</w:t>
      </w:r>
      <w:r>
        <w:t xml:space="preserve"> </w:t>
      </w:r>
      <m:oMath>
        <m:sSub>
          <m:e>
            <m:r>
              <m:t>p</m:t>
            </m:r>
          </m:e>
          <m:sub>
            <m:r>
              <m:t>m</m:t>
            </m:r>
            <m:r>
              <m:t>c</m:t>
            </m:r>
            <m:r>
              <m:t>m</m:t>
            </m:r>
            <m:r>
              <m:t>c</m:t>
            </m:r>
          </m:sub>
        </m:sSub>
      </m:oMath>
      <w:r>
        <w:t xml:space="preserve"> </w:t>
      </w:r>
      <w:r>
        <w:t xml:space="preserve">= 0.06) reduction in variation for marine ectotherms when temperatures increase by 10</w:t>
      </w:r>
      <m:oMath>
        <m:r>
          <m:rPr>
            <m:sty m:val="p"/>
          </m:rPr>
          <m:t>deg</m:t>
        </m:r>
      </m:oMath>
      <w:r>
        <w:t xml:space="preserve">C. In contrast, freshwater ectotherms exhibited a much smaller reduction in physiologiocal rate variance at high temperatures (8.45%, 95% CI: 0.55 to 21.41,</w:t>
      </w:r>
      <w:r>
        <w:t xml:space="preserve"> </w:t>
      </w:r>
      <m:oMath>
        <m:sSub>
          <m:e>
            <m:r>
              <m:t>p</m:t>
            </m:r>
          </m:e>
          <m:sub>
            <m:r>
              <m:t>m</m:t>
            </m:r>
            <m:r>
              <m:t>c</m:t>
            </m:r>
            <m:r>
              <m:t>m</m:t>
            </m:r>
            <m:r>
              <m:t>c</m:t>
            </m:r>
          </m:sub>
        </m:sSub>
      </m:oMath>
      <w:r>
        <w:t xml:space="preserve"> </w:t>
      </w:r>
      <w:r>
        <w:t xml:space="preserve">= 0.31).</w:t>
      </w:r>
    </w:p>
    <w:bookmarkEnd w:id="52"/>
    <w:bookmarkStart w:id="61" w:name="Xc10ebb43a1744a2445867384f67c174e2ec2054"/>
    <w:p>
      <w:pPr>
        <w:pStyle w:val="Heading3"/>
      </w:pPr>
      <w:r>
        <w:rPr>
          <w:iCs/>
          <w:i/>
        </w:rPr>
        <w:t xml:space="preserve">Does climate variability predict acclimation capacity among aquatic and terrestrial ectotherms?</w:t>
      </w:r>
    </w:p>
    <w:tbl>
      <w:tblPr>
        <w:tblStyle w:val="Table"/>
        <w:tblW w:type="pct" w:w="5000"/>
        <w:tblLook w:firstRow="0" w:lastRow="0" w:firstColumn="0" w:lastColumn="0" w:noHBand="0" w:noVBand="0" w:val="0000"/>
      </w:tblPr>
      <w:tblGrid>
        <w:gridCol w:w="7920"/>
      </w:tblGrid>
      <w:tr>
        <w:tc>
          <w:tcPr/>
          <w:bookmarkStart w:id="56" w:name="fig-fig8"/>
          <w:p>
            <w:pPr>
              <w:pStyle w:val="Figure"/>
              <w:jc w:val="center"/>
            </w:pPr>
            <w:r>
              <w:drawing>
                <wp:inline>
                  <wp:extent cx="6680200" cy="7087529"/>
                  <wp:effectExtent b="0" l="0" r="0" t="0"/>
                  <wp:docPr descr="" title="" id="54" name="Picture"/>
                  <a:graphic>
                    <a:graphicData uri="http://schemas.openxmlformats.org/drawingml/2006/picture">
                      <pic:pic>
                        <pic:nvPicPr>
                          <pic:cNvPr descr="ms_files/figure-docx/fig-fig8-1.png" id="55" name="Picture"/>
                          <pic:cNvPicPr>
                            <a:picLocks noChangeArrowheads="1" noChangeAspect="1"/>
                          </pic:cNvPicPr>
                        </pic:nvPicPr>
                        <pic:blipFill>
                          <a:blip r:embed="rId53"/>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Bubble plot environment lnRR for wild populations by habitat</w:t>
            </w:r>
          </w:p>
          <w:bookmarkEnd w:id="5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 w:name="fig-fig9"/>
          <w:p>
            <w:pPr>
              <w:pStyle w:val="Figure"/>
              <w:jc w:val="center"/>
            </w:pPr>
            <w:r>
              <w:drawing>
                <wp:inline>
                  <wp:extent cx="6096000" cy="4876800"/>
                  <wp:effectExtent b="0" l="0" r="0" t="0"/>
                  <wp:docPr descr="" title="" id="58" name="Picture"/>
                  <a:graphic>
                    <a:graphicData uri="http://schemas.openxmlformats.org/drawingml/2006/picture">
                      <pic:pic>
                        <pic:nvPicPr>
                          <pic:cNvPr descr="ms_files/figure-docx/fig-fig9-1.png" id="59" name="Picture"/>
                          <pic:cNvPicPr>
                            <a:picLocks noChangeArrowheads="1" noChangeAspect="1"/>
                          </pic:cNvPicPr>
                        </pic:nvPicPr>
                        <pic:blipFill>
                          <a:blip r:embed="rId57"/>
                          <a:stretch>
                            <a:fillRect/>
                          </a:stretch>
                        </pic:blipFill>
                        <pic:spPr bwMode="auto">
                          <a:xfrm>
                            <a:off x="0" y="0"/>
                            <a:ext cx="6096000" cy="487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Bubble plot environment lnRR for wild populations by habitat</w:t>
            </w:r>
          </w:p>
          <w:bookmarkEnd w:id="60"/>
        </w:tc>
      </w:tr>
    </w:tbl>
    <w:bookmarkEnd w:id="61"/>
    <w:bookmarkEnd w:id="62"/>
    <w:bookmarkStart w:id="63" w:name="discussion"/>
    <w:p>
      <w:pPr>
        <w:pStyle w:val="Heading2"/>
      </w:pPr>
      <w:r>
        <w:rPr>
          <w:bCs/>
          <w:b/>
        </w:rPr>
        <w:t xml:space="preserve">Discussion</w:t>
      </w:r>
    </w:p>
    <w:p>
      <w:pPr>
        <w:pStyle w:val="FirstParagraph"/>
      </w:pPr>
      <w:r>
        <w:t xml:space="preserve">One explanation for why terrestrial ectotherms show minimal acclimation capacity may be related to the fact that terrestrial ectotherms, were, on average acclimated for significantly less time than ectotherms from aquatic habitats . Rates of acclimation have been shown to be faster for many terrestrial groups compared to aquatic organisms [e.g., amphibians and reptiles have higher rates of acclimation than fishes; See</w:t>
      </w:r>
      <w:r>
        <w:t xml:space="preserve"> </w:t>
      </w:r>
      <w:r>
        <w:t xml:space="preserve">Einum &amp; Burton (2023)</w:t>
      </w:r>
      <w:r>
        <w:t xml:space="preserve">]. However, faster rates of acclimation would result in opposite patterns to those we observed – in other words, terrestrial species would be more likely to exhibit lower</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compared to</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when controlling for acclimation time.</w:t>
      </w:r>
    </w:p>
    <w:bookmarkEnd w:id="63"/>
    <w:bookmarkStart w:id="93" w:name="references"/>
    <w:p>
      <w:pPr>
        <w:pStyle w:val="Heading2"/>
      </w:pPr>
      <w:r>
        <w:t xml:space="preserve">References</w:t>
      </w:r>
    </w:p>
    <w:p>
      <w:pPr>
        <w:pStyle w:val="FirstParagraph"/>
      </w:pPr>
    </w:p>
    <w:bookmarkStart w:id="92" w:name="refs"/>
    <w:bookmarkStart w:id="64" w:name="ref-Bulgarella2015-yl"/>
    <w:p>
      <w:pPr>
        <w:pStyle w:val="Bibliography"/>
      </w:pPr>
      <w:r>
        <w:t xml:space="preserve">Bulgarella, M., Trewick, S.A., Godfrey, A.J.R., Sinclair, B.J. &amp; Morgan-Richards, M. (2015). Elevational variation in adult body size and growth rate but not in metabolic rate in the tree weta hemideina crassidens.</w:t>
      </w:r>
      <w:r>
        <w:t xml:space="preserve"> </w:t>
      </w:r>
      <w:r>
        <w:rPr>
          <w:iCs/>
          <w:i/>
        </w:rPr>
        <w:t xml:space="preserve">J. Insect Physiol.</w:t>
      </w:r>
      <w:r>
        <w:t xml:space="preserve">, 75, 30–38.</w:t>
      </w:r>
    </w:p>
    <w:bookmarkEnd w:id="64"/>
    <w:bookmarkStart w:id="65" w:name="ref-Burkner2017-wg"/>
    <w:p>
      <w:pPr>
        <w:pStyle w:val="Bibliography"/>
      </w:pPr>
      <w:r>
        <w:t xml:space="preserve">Bürkner, P.-C. (2017).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80, 1–28., doi:10.18637/jss.v080.i01.</w:t>
      </w:r>
    </w:p>
    <w:bookmarkEnd w:id="65"/>
    <w:bookmarkStart w:id="66" w:name="ref-Burkner2018-ur"/>
    <w:p>
      <w:pPr>
        <w:pStyle w:val="Bibliography"/>
      </w:pPr>
      <w:r>
        <w:t xml:space="preserve">Bürkner, P.-C. (2018).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10, 395–411.</w:t>
      </w:r>
    </w:p>
    <w:bookmarkEnd w:id="66"/>
    <w:bookmarkStart w:id="67" w:name="ref-Einum2023-lz"/>
    <w:p>
      <w:pPr>
        <w:pStyle w:val="Bibliography"/>
      </w:pPr>
      <w:r>
        <w:t xml:space="preserve">Einum, S. &amp; Burton, T. (2023). Divergence in rates of phenotypic plasticty among ectotherms.</w:t>
      </w:r>
      <w:r>
        <w:t xml:space="preserve"> </w:t>
      </w:r>
      <w:r>
        <w:rPr>
          <w:iCs/>
          <w:i/>
        </w:rPr>
        <w:t xml:space="preserve">Ecol. Lett.</w:t>
      </w:r>
      <w:r>
        <w:t xml:space="preserve">, 26, 147–156.</w:t>
      </w:r>
    </w:p>
    <w:bookmarkEnd w:id="67"/>
    <w:bookmarkStart w:id="68" w:name="ref-Grafen1989-pr"/>
    <w:p>
      <w:pPr>
        <w:pStyle w:val="Bibliography"/>
      </w:pPr>
      <w:r>
        <w:t xml:space="preserve">Grafen, A. (1989). The phylogenetic regression.</w:t>
      </w:r>
      <w:r>
        <w:t xml:space="preserve"> </w:t>
      </w:r>
      <w:r>
        <w:rPr>
          <w:iCs/>
          <w:i/>
        </w:rPr>
        <w:t xml:space="preserve">Philos. Trans. R. Soc. Lond. B Biol. Sci.</w:t>
      </w:r>
      <w:r>
        <w:t xml:space="preserve">, 326, 119–157.</w:t>
      </w:r>
    </w:p>
    <w:bookmarkEnd w:id="68"/>
    <w:bookmarkStart w:id="69" w:name="ref-Gunderson2015-hz"/>
    <w:p>
      <w:pPr>
        <w:pStyle w:val="Bibliography"/>
      </w:pPr>
      <w:r>
        <w:t xml:space="preserve">Gunderson, A.R. &amp; Stillman, J.H. (2015). Plasticity in thermal tolerance has limited potential to buffer ectotherms from global warming.</w:t>
      </w:r>
      <w:r>
        <w:t xml:space="preserve"> </w:t>
      </w:r>
      <w:r>
        <w:rPr>
          <w:iCs/>
          <w:i/>
        </w:rPr>
        <w:t xml:space="preserve">Proceedings of the Royal Society B: Biological Sciences</w:t>
      </w:r>
      <w:r>
        <w:t xml:space="preserve">, 282, 20150401.</w:t>
      </w:r>
    </w:p>
    <w:bookmarkEnd w:id="69"/>
    <w:bookmarkStart w:id="70" w:name="ref-Havird2020-mj"/>
    <w:p>
      <w:pPr>
        <w:pStyle w:val="Bibliography"/>
      </w:pPr>
      <w:r>
        <w:t xml:space="preserve">Havird, J.C., Neuwald, J.L., Shah, A.A., Mauro, A., Marshall, C.A. &amp; Ghalambor, C.K. (2020).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0, 1–14.</w:t>
      </w:r>
    </w:p>
    <w:bookmarkEnd w:id="70"/>
    <w:bookmarkStart w:id="71" w:name="ref-Hedges1999-de"/>
    <w:p>
      <w:pPr>
        <w:pStyle w:val="Bibliography"/>
      </w:pPr>
      <w:r>
        <w:t xml:space="preserve">Hedges, L.V., Gurevitch, J. &amp; Curtis, P.S. (1999). The meta-analysis of response ratios in experimental ecology.</w:t>
      </w:r>
      <w:r>
        <w:t xml:space="preserve"> </w:t>
      </w:r>
      <w:r>
        <w:rPr>
          <w:iCs/>
          <w:i/>
        </w:rPr>
        <w:t xml:space="preserve">Ecology</w:t>
      </w:r>
      <w:r>
        <w:t xml:space="preserve">, 80, 1150–1156.</w:t>
      </w:r>
    </w:p>
    <w:bookmarkEnd w:id="71"/>
    <w:bookmarkStart w:id="72" w:name="ref-Hersbach2020-hx"/>
    <w:p>
      <w:pPr>
        <w:pStyle w:val="Bibliography"/>
      </w:pPr>
      <w:r>
        <w:t xml:space="preserve">Hersbach, H., Bell, B., Berrisford, P., Hirahara, S., Horányi, A., Muñoz-Sabater, J.,</w:t>
      </w:r>
      <w:r>
        <w:t xml:space="preserve"> </w:t>
      </w:r>
      <w:r>
        <w:rPr>
          <w:iCs/>
          <w:i/>
        </w:rPr>
        <w:t xml:space="preserve">et al.</w:t>
      </w:r>
      <w:r>
        <w:t xml:space="preserve"> (2020). The</w:t>
      </w:r>
      <w:r>
        <w:t xml:space="preserve"> </w:t>
      </w:r>
      <w:r>
        <w:t xml:space="preserve">ERA5</w:t>
      </w:r>
      <w:r>
        <w:t xml:space="preserve"> </w:t>
      </w:r>
      <w:r>
        <w:t xml:space="preserve">global reanalysis.</w:t>
      </w:r>
      <w:r>
        <w:t xml:space="preserve"> </w:t>
      </w:r>
      <w:r>
        <w:rPr>
          <w:iCs/>
          <w:i/>
        </w:rPr>
        <w:t xml:space="preserve">Quart. J. Roy. Meteor. Soc.</w:t>
      </w:r>
      <w:r>
        <w:t xml:space="preserve">, 146, 1999–2049.</w:t>
      </w:r>
    </w:p>
    <w:bookmarkEnd w:id="72"/>
    <w:bookmarkStart w:id="73" w:name="ref-Lajeunesse2011-fq"/>
    <w:p>
      <w:pPr>
        <w:pStyle w:val="Bibliography"/>
      </w:pPr>
      <w:r>
        <w:t xml:space="preserve">Lajeunesse, M.J. (2011). On the meta-analysis of response ratios for studies with correlated and multi-group designs.</w:t>
      </w:r>
      <w:r>
        <w:t xml:space="preserve"> </w:t>
      </w:r>
      <w:r>
        <w:rPr>
          <w:iCs/>
          <w:i/>
        </w:rPr>
        <w:t xml:space="preserve">Ecology</w:t>
      </w:r>
      <w:r>
        <w:t xml:space="preserve">, 92, 2049–2055.</w:t>
      </w:r>
    </w:p>
    <w:bookmarkEnd w:id="73"/>
    <w:bookmarkStart w:id="74" w:name="ref-Michonneau2016-if"/>
    <w:p>
      <w:pPr>
        <w:pStyle w:val="Bibliography"/>
      </w:pPr>
      <w:r>
        <w:t xml:space="preserve">Michonneau, F., Brown, J.W. &amp; Winter, D.J. (2016).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7, 1476-1481. doi:10.1111/2041-210X.12593.</w:t>
      </w:r>
    </w:p>
    <w:bookmarkEnd w:id="74"/>
    <w:bookmarkStart w:id="75" w:name="ref-Nakagawa2021-ls"/>
    <w:p>
      <w:pPr>
        <w:pStyle w:val="Bibliography"/>
      </w:pPr>
      <w:r>
        <w:t xml:space="preserve">Nakagawa, S., Lagisz, M., O’Dea, R.E., Rutkowska, J., Yang, Y., Noble, D.W.A.,</w:t>
      </w:r>
      <w:r>
        <w:t xml:space="preserve"> </w:t>
      </w:r>
      <w:r>
        <w:rPr>
          <w:iCs/>
          <w:i/>
        </w:rPr>
        <w:t xml:space="preserve">et al.</w:t>
      </w:r>
      <w:r>
        <w:t xml:space="preserve"> (2021a). The orchard plot: Cultivating forest plots for use in ecology, evolution and beyond.</w:t>
      </w:r>
      <w:r>
        <w:t xml:space="preserve"> </w:t>
      </w:r>
      <w:r>
        <w:rPr>
          <w:iCs/>
          <w:i/>
        </w:rPr>
        <w:t xml:space="preserve">Research Synthesis Methods</w:t>
      </w:r>
      <w:r>
        <w:t xml:space="preserve">, 12, 4–12.</w:t>
      </w:r>
    </w:p>
    <w:bookmarkEnd w:id="75"/>
    <w:bookmarkStart w:id="76" w:name="ref-Nakagawa2015-fo"/>
    <w:p>
      <w:pPr>
        <w:pStyle w:val="Bibliography"/>
      </w:pPr>
      <w:r>
        <w:t xml:space="preserve">Nakagawa, S., Poulin, R., Mengersen, K., Reinhold, K., Engqvist, L., Lagisz, M.,</w:t>
      </w:r>
      <w:r>
        <w:t xml:space="preserve"> </w:t>
      </w:r>
      <w:r>
        <w:rPr>
          <w:iCs/>
          <w:i/>
        </w:rPr>
        <w:t xml:space="preserve">et al.</w:t>
      </w:r>
      <w:r>
        <w:t xml:space="preserve"> (2015). Meta-analysis of variation: Ecological and evolutionary applications and beyond.</w:t>
      </w:r>
      <w:r>
        <w:t xml:space="preserve"> </w:t>
      </w:r>
      <w:r>
        <w:rPr>
          <w:iCs/>
          <w:i/>
        </w:rPr>
        <w:t xml:space="preserve">Methods Ecol. Evol.</w:t>
      </w:r>
      <w:r>
        <w:t xml:space="preserve">, 6, 143–152.</w:t>
      </w:r>
    </w:p>
    <w:bookmarkEnd w:id="76"/>
    <w:bookmarkStart w:id="77" w:name="ref-Nakagawa2012-oc"/>
    <w:p>
      <w:pPr>
        <w:pStyle w:val="Bibliography"/>
      </w:pPr>
      <w:r>
        <w:t xml:space="preserve">Nakagawa, S. &amp; Santos, E.S.A. (2012). Methodological issues and advances in biological meta-analysis.</w:t>
      </w:r>
      <w:r>
        <w:t xml:space="preserve"> </w:t>
      </w:r>
      <w:r>
        <w:rPr>
          <w:iCs/>
          <w:i/>
        </w:rPr>
        <w:t xml:space="preserve">Evol. Ecol.</w:t>
      </w:r>
      <w:r>
        <w:t xml:space="preserve">, 26, 1253–1274.</w:t>
      </w:r>
    </w:p>
    <w:bookmarkEnd w:id="77"/>
    <w:bookmarkStart w:id="78" w:name="ref-Nakagawa2021-uf"/>
    <w:p>
      <w:pPr>
        <w:pStyle w:val="Bibliography"/>
      </w:pPr>
      <w:r>
        <w:t xml:space="preserve">Nakagawa, S., Senior, A.M., Viechtbauer, W. &amp; Noble, D.W.A. (2021b). An assessment of statistical methods for non-independent data in ecological meta-analyses: comment.</w:t>
      </w:r>
      <w:r>
        <w:t xml:space="preserve"> </w:t>
      </w:r>
      <w:r>
        <w:rPr>
          <w:iCs/>
          <w:i/>
        </w:rPr>
        <w:t xml:space="preserve">Ecology</w:t>
      </w:r>
      <w:r>
        <w:t xml:space="preserve">, in press., https://doi.org/10.1002/ecy.3490.</w:t>
      </w:r>
    </w:p>
    <w:bookmarkEnd w:id="78"/>
    <w:bookmarkStart w:id="79" w:name="ref-Noble2022-ty"/>
    <w:p>
      <w:pPr>
        <w:pStyle w:val="Bibliography"/>
      </w:pPr>
      <w:r>
        <w:t xml:space="preserve">Noble, D.W.A., Pottier, P., Lagisz, M., Burke, S., Drobniak, S.M., O’Dea, R.E.,</w:t>
      </w:r>
      <w:r>
        <w:t xml:space="preserve"> </w:t>
      </w:r>
      <w:r>
        <w:rPr>
          <w:iCs/>
          <w:i/>
        </w:rPr>
        <w:t xml:space="preserve">et al.</w:t>
      </w:r>
      <w:r>
        <w:t xml:space="preserve"> (2022).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225, jeb243225.</w:t>
      </w:r>
    </w:p>
    <w:bookmarkEnd w:id="79"/>
    <w:bookmarkStart w:id="80" w:name="ref-Ouzzani2016-ge"/>
    <w:p>
      <w:pPr>
        <w:pStyle w:val="Bibliography"/>
      </w:pPr>
      <w:r>
        <w:t xml:space="preserve">Ouzzani, M., Hammady, H., Fedorowicz, Z. &amp; Elmagarmid, A. (2016). Rayyan—a web and mobile app for systematic reviews.</w:t>
      </w:r>
      <w:r>
        <w:t xml:space="preserve"> </w:t>
      </w:r>
      <w:r>
        <w:rPr>
          <w:iCs/>
          <w:i/>
        </w:rPr>
        <w:t xml:space="preserve">Syst. Rev.</w:t>
      </w:r>
      <w:r>
        <w:t xml:space="preserve">, 5, 210–220.</w:t>
      </w:r>
    </w:p>
    <w:bookmarkEnd w:id="80"/>
    <w:bookmarkStart w:id="81" w:name="ref-Paradis2019-gx"/>
    <w:p>
      <w:pPr>
        <w:pStyle w:val="Bibliography"/>
      </w:pPr>
      <w:r>
        <w:t xml:space="preserve">Paradis, E. &amp; Schliep, K. (2019).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35, 526–528.</w:t>
      </w:r>
    </w:p>
    <w:bookmarkEnd w:id="81"/>
    <w:bookmarkStart w:id="82" w:name="ref-Pick2019-mg"/>
    <w:p>
      <w:pPr>
        <w:pStyle w:val="Bibliography"/>
      </w:pPr>
      <w:r>
        <w:t xml:space="preserve">Pick, J.L., Nakagawa, S. &amp; Noble, D.W.A. (2019).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10, 426–431.</w:t>
      </w:r>
    </w:p>
    <w:bookmarkEnd w:id="82"/>
    <w:bookmarkStart w:id="84" w:name="ref-Pierce2021"/>
    <w:p>
      <w:pPr>
        <w:pStyle w:val="Bibliography"/>
      </w:pPr>
      <w:r>
        <w:t xml:space="preserve">Pierce, D. (2021).</w:t>
      </w:r>
      <w:r>
        <w:t xml:space="preserve"> </w:t>
      </w:r>
      <w:hyperlink r:id="rId83">
        <w:r>
          <w:rPr>
            <w:rStyle w:val="Hyperlink"/>
          </w:rPr>
          <w:t xml:space="preserve">ncdf4: Interface to unidata netCDF (version 4 or earlier) format data files</w:t>
        </w:r>
      </w:hyperlink>
      <w:r>
        <w:t xml:space="preserve">.</w:t>
      </w:r>
    </w:p>
    <w:bookmarkEnd w:id="84"/>
    <w:bookmarkStart w:id="85" w:name="ref-Pinsky2019-fn"/>
    <w:p>
      <w:pPr>
        <w:pStyle w:val="Bibliography"/>
      </w:pPr>
      <w:r>
        <w:t xml:space="preserve">Pinsky, M.L., Eikeset, A.M., McCauley, D.J., Payne, J.L. &amp; Sunday, J.M. (2019). Greater vulnerability to warming of marine versus terrestrial ectotherms.</w:t>
      </w:r>
      <w:r>
        <w:t xml:space="preserve"> </w:t>
      </w:r>
      <w:r>
        <w:rPr>
          <w:iCs/>
          <w:i/>
        </w:rPr>
        <w:t xml:space="preserve">Nature</w:t>
      </w:r>
      <w:r>
        <w:t xml:space="preserve">, 569, 108–111.</w:t>
      </w:r>
    </w:p>
    <w:bookmarkEnd w:id="85"/>
    <w:bookmarkStart w:id="86" w:name="ref-Revell2012-vq"/>
    <w:p>
      <w:pPr>
        <w:pStyle w:val="Bibliography"/>
      </w:pPr>
      <w:r>
        <w:t xml:space="preserve">Revell, L.J. (2012).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3, 217–223.</w:t>
      </w:r>
    </w:p>
    <w:bookmarkEnd w:id="86"/>
    <w:bookmarkStart w:id="87" w:name="ref-Seebacher2015-wi"/>
    <w:p>
      <w:pPr>
        <w:pStyle w:val="Bibliography"/>
      </w:pPr>
      <w:r>
        <w:t xml:space="preserve">Seebacher, F., White, C.R. &amp; Franklin, C.E. (2015). Physiological plasticity increases resilience of ectothermic animals to climate change.</w:t>
      </w:r>
      <w:r>
        <w:t xml:space="preserve"> </w:t>
      </w:r>
      <w:r>
        <w:rPr>
          <w:iCs/>
          <w:i/>
        </w:rPr>
        <w:t xml:space="preserve">Nat. Clim. Chang.</w:t>
      </w:r>
      <w:r>
        <w:t xml:space="preserve">, 5, 61.</w:t>
      </w:r>
    </w:p>
    <w:bookmarkEnd w:id="87"/>
    <w:bookmarkStart w:id="88" w:name="ref-Song2021-ba"/>
    <w:p>
      <w:pPr>
        <w:pStyle w:val="Bibliography"/>
      </w:pPr>
      <w:r>
        <w:t xml:space="preserve">Song, C., Peacor, S.D., Osenberg, C.W. &amp; Bence, J.R. (2021). An assessment of statistical methods for nonindependent data in ecological meta-analyses.</w:t>
      </w:r>
      <w:r>
        <w:t xml:space="preserve"> </w:t>
      </w:r>
      <w:r>
        <w:rPr>
          <w:iCs/>
          <w:i/>
        </w:rPr>
        <w:t xml:space="preserve">Ecology</w:t>
      </w:r>
      <w:r>
        <w:t xml:space="preserve">, e03184.</w:t>
      </w:r>
    </w:p>
    <w:bookmarkEnd w:id="88"/>
    <w:bookmarkStart w:id="89" w:name="ref-noauthor_2021-az"/>
    <w:p>
      <w:pPr>
        <w:pStyle w:val="Bibliography"/>
      </w:pPr>
      <w:r>
        <w:t xml:space="preserve">Stan development team.</w:t>
      </w:r>
      <w:r>
        <w:t xml:space="preserve"> </w:t>
      </w:r>
      <w:r>
        <w:t xml:space="preserve">RStan</w:t>
      </w:r>
      <w:r>
        <w:t xml:space="preserve">: The</w:t>
      </w:r>
      <w:r>
        <w:t xml:space="preserve"> </w:t>
      </w:r>
      <w:r>
        <w:t xml:space="preserve">R</w:t>
      </w:r>
      <w:r>
        <w:t xml:space="preserve"> </w:t>
      </w:r>
      <w:r>
        <w:t xml:space="preserve">interface to stan. (2021).</w:t>
      </w:r>
      <w:r>
        <w:t xml:space="preserve"> </w:t>
      </w:r>
      <w:r>
        <w:rPr>
          <w:iCs/>
          <w:i/>
        </w:rPr>
        <w:t xml:space="preserve">R package version 2. 21. 3. https://mc-stan. org/.</w:t>
      </w:r>
    </w:p>
    <w:bookmarkEnd w:id="89"/>
    <w:bookmarkStart w:id="90" w:name="ref-Viechtbauer2010-fn"/>
    <w:p>
      <w:pPr>
        <w:pStyle w:val="Bibliography"/>
      </w:pPr>
      <w:r>
        <w:t xml:space="preserve">Viechtbauer, W. (2010).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36, 1–48. URL: https://www.jstatsoft.org/v36/i03/.</w:t>
      </w:r>
    </w:p>
    <w:bookmarkEnd w:id="90"/>
    <w:bookmarkStart w:id="91" w:name="ref-Yu2017-wj"/>
    <w:p>
      <w:pPr>
        <w:pStyle w:val="Bibliography"/>
      </w:pPr>
      <w:r>
        <w:t xml:space="preserve">Yu, G., Smith, D., Zhu, H., Guan, Y. &amp; Lam, T.T.-Y. (2017).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8, 28–36, doi:10.1111/2041–210X.12628.</w:t>
      </w:r>
    </w:p>
    <w:bookmarkEnd w:id="91"/>
    <w:bookmarkEnd w:id="92"/>
    <w:p>
      <w:pPr>
        <w:pStyle w:val="BodyText"/>
      </w:pPr>
    </w:p>
    <w:bookmarkEnd w:id="93"/>
    <w:bookmarkStart w:id="114" w:name="supplemental-results-and-figures"/>
    <w:p>
      <w:pPr>
        <w:pStyle w:val="Heading2"/>
      </w:pPr>
      <w:r>
        <w:t xml:space="preserve">Supplemental Results and Figures</w:t>
      </w:r>
    </w:p>
    <w:p>
      <w:pPr>
        <w:pStyle w:val="FirstParagraph"/>
      </w:pPr>
      <w:r>
        <w:t xml:space="preserve">Analysis of</w:t>
      </w:r>
      <w:r>
        <w:t xml:space="preserve"> </w:t>
      </w:r>
      <m:oMath>
        <m:r>
          <m:t>l</m:t>
        </m:r>
        <m:r>
          <m:t>n</m:t>
        </m:r>
        <m:r>
          <m:t>V</m:t>
        </m:r>
        <m:sSub>
          <m:e>
            <m:r>
              <m:t>R</m:t>
            </m:r>
          </m:e>
          <m:sub>
            <m:sSub>
              <m:e>
                <m:r>
                  <m:t>Q</m:t>
                </m:r>
              </m:e>
              <m:sub>
                <m:r>
                  <m:t>10</m:t>
                </m:r>
              </m:sub>
            </m:sSub>
          </m:sub>
        </m:sSub>
      </m:oMath>
      <w:r>
        <w:t xml:space="preserve"> </w:t>
      </w:r>
      <w:r>
        <w:t xml:space="preserve">suggested that variance increases with higher temperatures across all habitat types, with terrestrial ectotherms having the smallest increase in variance (</w:t>
      </w:r>
      <w:hyperlink w:anchor="fig-lnvr">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97" w:name="fig-lnvr"/>
          <w:p>
            <w:pPr>
              <w:pStyle w:val="Figure"/>
              <w:jc w:val="center"/>
            </w:pPr>
            <w:r>
              <w:drawing>
                <wp:inline>
                  <wp:extent cx="6680200" cy="4647095"/>
                  <wp:effectExtent b="0" l="0" r="0" t="0"/>
                  <wp:docPr descr="" title="" id="95" name="Picture"/>
                  <a:graphic>
                    <a:graphicData uri="http://schemas.openxmlformats.org/drawingml/2006/picture">
                      <pic:pic>
                        <pic:nvPicPr>
                          <pic:cNvPr descr="ms_files/figure-docx/fig-lnvr-1.png" id="96" name="Picture"/>
                          <pic:cNvPicPr>
                            <a:picLocks noChangeArrowheads="1" noChangeAspect="1"/>
                          </pic:cNvPicPr>
                        </pic:nvPicPr>
                        <pic:blipFill>
                          <a:blip r:embed="rId94"/>
                          <a:stretch>
                            <a:fillRect/>
                          </a:stretch>
                        </pic:blipFill>
                        <pic:spPr bwMode="auto">
                          <a:xfrm>
                            <a:off x="0" y="0"/>
                            <a:ext cx="6680200" cy="46470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lnVR</w:t>
            </w:r>
          </w:p>
          <w:bookmarkEnd w:id="9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1" w:name="fig-fig4"/>
          <w:p>
            <w:pPr>
              <w:pStyle w:val="Figure"/>
              <w:jc w:val="center"/>
            </w:pPr>
            <w:r>
              <w:drawing>
                <wp:inline>
                  <wp:extent cx="6096000" cy="4876800"/>
                  <wp:effectExtent b="0" l="0" r="0" t="0"/>
                  <wp:docPr descr="" title="" id="99" name="Picture"/>
                  <a:graphic>
                    <a:graphicData uri="http://schemas.openxmlformats.org/drawingml/2006/picture">
                      <pic:pic>
                        <pic:nvPicPr>
                          <pic:cNvPr descr="ms_files/figure-docx/fig-fig4-1.png" id="100" name="Picture"/>
                          <pic:cNvPicPr>
                            <a:picLocks noChangeArrowheads="1" noChangeAspect="1"/>
                          </pic:cNvPicPr>
                        </pic:nvPicPr>
                        <pic:blipFill>
                          <a:blip r:embed="rId98"/>
                          <a:stretch>
                            <a:fillRect/>
                          </a:stretch>
                        </pic:blipFill>
                        <pic:spPr bwMode="auto">
                          <a:xfrm>
                            <a:off x="0" y="0"/>
                            <a:ext cx="6096000" cy="487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I2 estimates</w:t>
            </w:r>
          </w:p>
          <w:bookmarkEnd w:id="10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5" w:name="fig-fig5"/>
          <w:p>
            <w:pPr>
              <w:pStyle w:val="Figure"/>
              <w:jc w:val="center"/>
            </w:pPr>
            <w:r>
              <w:drawing>
                <wp:inline>
                  <wp:extent cx="6096000" cy="4876800"/>
                  <wp:effectExtent b="0" l="0" r="0" t="0"/>
                  <wp:docPr descr="" title="" id="103" name="Picture"/>
                  <a:graphic>
                    <a:graphicData uri="http://schemas.openxmlformats.org/drawingml/2006/picture">
                      <pic:pic>
                        <pic:nvPicPr>
                          <pic:cNvPr descr="ms_files/figure-docx/fig-fig5-1.png" id="104" name="Picture"/>
                          <pic:cNvPicPr>
                            <a:picLocks noChangeArrowheads="1" noChangeAspect="1"/>
                          </pic:cNvPicPr>
                        </pic:nvPicPr>
                        <pic:blipFill>
                          <a:blip r:embed="rId102"/>
                          <a:stretch>
                            <a:fillRect/>
                          </a:stretch>
                        </pic:blipFill>
                        <pic:spPr bwMode="auto">
                          <a:xfrm>
                            <a:off x="0" y="0"/>
                            <a:ext cx="6096000" cy="487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I2 estimates lnCVR</w:t>
            </w:r>
          </w:p>
          <w:bookmarkEnd w:id="10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9" w:name="fig-fig6"/>
          <w:p>
            <w:pPr>
              <w:pStyle w:val="Figure"/>
              <w:jc w:val="center"/>
            </w:pPr>
            <w:r>
              <w:drawing>
                <wp:inline>
                  <wp:extent cx="6096000" cy="4876800"/>
                  <wp:effectExtent b="0" l="0" r="0" t="0"/>
                  <wp:docPr descr="" title="" id="107" name="Picture"/>
                  <a:graphic>
                    <a:graphicData uri="http://schemas.openxmlformats.org/drawingml/2006/picture">
                      <pic:pic>
                        <pic:nvPicPr>
                          <pic:cNvPr descr="ms_files/figure-docx/fig-fig6-1.png" id="108" name="Picture"/>
                          <pic:cNvPicPr>
                            <a:picLocks noChangeArrowheads="1" noChangeAspect="1"/>
                          </pic:cNvPicPr>
                        </pic:nvPicPr>
                        <pic:blipFill>
                          <a:blip r:embed="rId106"/>
                          <a:stretch>
                            <a:fillRect/>
                          </a:stretch>
                        </pic:blipFill>
                        <pic:spPr bwMode="auto">
                          <a:xfrm>
                            <a:off x="0" y="0"/>
                            <a:ext cx="6096000" cy="487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Bubble plot environment lnRR wild populations</w:t>
            </w:r>
          </w:p>
          <w:bookmarkEnd w:id="10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13" w:name="fig-fig7"/>
          <w:p>
            <w:pPr>
              <w:pStyle w:val="Figure"/>
              <w:jc w:val="center"/>
            </w:pPr>
            <w:r>
              <w:drawing>
                <wp:inline>
                  <wp:extent cx="6096000" cy="4876800"/>
                  <wp:effectExtent b="0" l="0" r="0" t="0"/>
                  <wp:docPr descr="" title="" id="111" name="Picture"/>
                  <a:graphic>
                    <a:graphicData uri="http://schemas.openxmlformats.org/drawingml/2006/picture">
                      <pic:pic>
                        <pic:nvPicPr>
                          <pic:cNvPr descr="ms_files/figure-docx/fig-fig7-1.png" id="112" name="Picture"/>
                          <pic:cNvPicPr>
                            <a:picLocks noChangeArrowheads="1" noChangeAspect="1"/>
                          </pic:cNvPicPr>
                        </pic:nvPicPr>
                        <pic:blipFill>
                          <a:blip r:embed="rId110"/>
                          <a:stretch>
                            <a:fillRect/>
                          </a:stretch>
                        </pic:blipFill>
                        <pic:spPr bwMode="auto">
                          <a:xfrm>
                            <a:off x="0" y="0"/>
                            <a:ext cx="6096000" cy="487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Bubble plot environment lnCVR wild populations</w:t>
            </w:r>
          </w:p>
          <w:bookmarkEnd w:id="113"/>
        </w:tc>
      </w:tr>
    </w:tbl>
    <w:bookmarkEnd w:id="114"/>
    <w:sectPr w:rsidR="00223086" w:rsidSect="00DF7D6E">
      <w:pgSz w:h="15840" w:w="12240"/>
      <w:pgMar w:bottom="851" w:footer="720" w:gutter="0" w:header="720" w:left="851" w:right="851" w:top="85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8F20325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82988D9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CA42DB7A"/>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6ECE6490"/>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64A236F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2B5A6980"/>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CC0C7A62"/>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9DB80C0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70247D8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95C65B4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94" Target="media/rId94.png" /><Relationship Type="http://schemas.openxmlformats.org/officeDocument/2006/relationships/hyperlink" Id="rId83" Target="https://CRAN.R-project.org/package=ncdf4" TargetMode="External" /></Relationships>
</file>

<file path=word/_rels/footnotes.xml.rels><?xml version="1.0" encoding="UTF-8"?><Relationships xmlns="http://schemas.openxmlformats.org/package/2006/relationships"><Relationship Type="http://schemas.openxmlformats.org/officeDocument/2006/relationships/hyperlink" Id="rId83" Target="https://CRAN.R-project.org/package=ncdf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4699</Words>
  <Characters>26789</Characters>
  <Application>Microsoft Office Word</Application>
  <DocSecurity>0</DocSecurity>
  <Lines>223</Lines>
  <Paragraphs>62</Paragraphs>
  <ScaleCrop>false</ScaleCrop>
  <Company/>
  <LinksUpToDate>false</LinksUpToDate>
  <CharactersWithSpaces>31426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opportunity for selection in terrestrial ectotherm populations under climate change</dc:title>
  <dc:creator/>
  <cp:keywords/>
  <dcterms:created xsi:type="dcterms:W3CDTF">2023-03-16T21:41:26Z</dcterms:created>
  <dcterms:modified xsi:type="dcterms:W3CDTF">2023-03-16T21:41:26Z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